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8AB4B">
      <w:pPr>
        <w:spacing w:after="480" w:line="480" w:lineRule="exact"/>
        <w:ind w:firstLine="960"/>
        <w:jc w:val="center"/>
        <w:rPr>
          <w:rFonts w:eastAsia="黑体"/>
          <w:sz w:val="48"/>
          <w:szCs w:val="36"/>
        </w:rPr>
      </w:pPr>
      <w:bookmarkStart w:id="0" w:name="_Toc393441006"/>
    </w:p>
    <w:p w14:paraId="7BC5D952">
      <w:pPr>
        <w:spacing w:after="480" w:line="480" w:lineRule="exact"/>
        <w:ind w:firstLine="960"/>
        <w:jc w:val="center"/>
        <w:rPr>
          <w:rFonts w:eastAsia="黑体"/>
          <w:sz w:val="48"/>
          <w:szCs w:val="36"/>
        </w:rPr>
      </w:pPr>
    </w:p>
    <w:p w14:paraId="3DB061C1">
      <w:pPr>
        <w:spacing w:after="480" w:line="480" w:lineRule="exact"/>
        <w:ind w:firstLine="0" w:firstLineChars="0"/>
        <w:jc w:val="center"/>
        <w:rPr>
          <w:rFonts w:eastAsia="黑体"/>
          <w:sz w:val="48"/>
          <w:szCs w:val="36"/>
        </w:rPr>
      </w:pPr>
      <w:r>
        <w:rPr>
          <w:rFonts w:eastAsia="黑体"/>
          <w:sz w:val="48"/>
          <w:szCs w:val="36"/>
        </w:rPr>
        <w:t>舟山市普陀2#海上风电场项目</w:t>
      </w:r>
    </w:p>
    <w:p w14:paraId="1F356C37">
      <w:pPr>
        <w:spacing w:after="480" w:line="480" w:lineRule="exact"/>
        <w:ind w:firstLine="0" w:firstLineChars="0"/>
        <w:jc w:val="center"/>
        <w:rPr>
          <w:rFonts w:eastAsia="黑体"/>
          <w:sz w:val="32"/>
          <w:szCs w:val="36"/>
        </w:rPr>
      </w:pPr>
      <w:r>
        <w:rPr>
          <w:rFonts w:eastAsia="黑体"/>
          <w:sz w:val="48"/>
          <w:szCs w:val="36"/>
        </w:rPr>
        <w:t>陆上集控中心四通一平项目公开招标</w:t>
      </w:r>
    </w:p>
    <w:p w14:paraId="09B8BC5B">
      <w:pPr>
        <w:spacing w:before="160" w:line="360" w:lineRule="auto"/>
        <w:ind w:firstLine="0" w:firstLineChars="0"/>
        <w:jc w:val="center"/>
        <w:rPr>
          <w:rFonts w:eastAsia="黑体"/>
          <w:b/>
          <w:sz w:val="48"/>
          <w:szCs w:val="16"/>
        </w:rPr>
      </w:pPr>
    </w:p>
    <w:p w14:paraId="6D58554B">
      <w:pPr>
        <w:spacing w:before="160" w:line="360" w:lineRule="auto"/>
        <w:ind w:firstLine="0" w:firstLineChars="0"/>
        <w:jc w:val="center"/>
      </w:pPr>
      <w:r>
        <w:rPr>
          <w:rFonts w:eastAsia="黑体"/>
          <w:b/>
          <w:sz w:val="48"/>
          <w:szCs w:val="16"/>
        </w:rPr>
        <w:t>技术规范书</w:t>
      </w:r>
    </w:p>
    <w:p w14:paraId="2A33696F">
      <w:pPr>
        <w:ind w:firstLine="480"/>
      </w:pPr>
    </w:p>
    <w:p w14:paraId="5D06A401">
      <w:pPr>
        <w:ind w:firstLine="480"/>
      </w:pPr>
    </w:p>
    <w:p w14:paraId="00507BAD">
      <w:pPr>
        <w:ind w:firstLine="480"/>
      </w:pPr>
    </w:p>
    <w:p w14:paraId="3D4899F6">
      <w:pPr>
        <w:ind w:firstLine="480"/>
      </w:pPr>
    </w:p>
    <w:p w14:paraId="7255F8A1">
      <w:pPr>
        <w:ind w:firstLine="480"/>
      </w:pPr>
    </w:p>
    <w:p w14:paraId="6E94197A">
      <w:pPr>
        <w:ind w:firstLine="480"/>
      </w:pPr>
    </w:p>
    <w:p w14:paraId="1E24DEF0">
      <w:pPr>
        <w:ind w:firstLine="480"/>
      </w:pPr>
    </w:p>
    <w:p w14:paraId="7545E819">
      <w:pPr>
        <w:ind w:firstLine="480"/>
      </w:pPr>
    </w:p>
    <w:p w14:paraId="7D938D18">
      <w:pPr>
        <w:ind w:firstLine="480"/>
      </w:pPr>
    </w:p>
    <w:p w14:paraId="7A9F71A4">
      <w:pPr>
        <w:ind w:firstLine="480"/>
      </w:pPr>
    </w:p>
    <w:p w14:paraId="2813EFA0">
      <w:pPr>
        <w:ind w:firstLine="480"/>
      </w:pPr>
    </w:p>
    <w:p w14:paraId="4527D905">
      <w:pPr>
        <w:ind w:firstLine="640"/>
        <w:jc w:val="center"/>
        <w:rPr>
          <w:sz w:val="32"/>
          <w:szCs w:val="36"/>
        </w:rPr>
      </w:pPr>
    </w:p>
    <w:p w14:paraId="397D786D">
      <w:pPr>
        <w:spacing w:line="480" w:lineRule="auto"/>
        <w:ind w:firstLine="0" w:firstLineChars="0"/>
        <w:jc w:val="center"/>
        <w:rPr>
          <w:sz w:val="32"/>
          <w:szCs w:val="36"/>
        </w:rPr>
      </w:pPr>
      <w:r>
        <w:rPr>
          <w:sz w:val="32"/>
          <w:szCs w:val="36"/>
        </w:rPr>
        <w:t>2025年2月</w:t>
      </w:r>
    </w:p>
    <w:p w14:paraId="04CCA3B0">
      <w:pPr>
        <w:spacing w:line="480" w:lineRule="auto"/>
        <w:ind w:firstLine="0" w:firstLineChars="0"/>
        <w:jc w:val="center"/>
        <w:rPr>
          <w:sz w:val="32"/>
          <w:szCs w:val="36"/>
        </w:rPr>
      </w:pPr>
    </w:p>
    <w:p w14:paraId="38C456AD">
      <w:pPr>
        <w:spacing w:line="480" w:lineRule="auto"/>
        <w:ind w:firstLine="0" w:firstLineChars="0"/>
        <w:jc w:val="center"/>
        <w:rPr>
          <w:sz w:val="32"/>
          <w:szCs w:val="36"/>
        </w:rPr>
      </w:pPr>
    </w:p>
    <w:p w14:paraId="14075FEB">
      <w:pPr>
        <w:spacing w:line="480" w:lineRule="auto"/>
        <w:ind w:firstLine="0" w:firstLineChars="0"/>
        <w:jc w:val="center"/>
        <w:rPr>
          <w:sz w:val="32"/>
          <w:szCs w:val="36"/>
        </w:rPr>
      </w:pPr>
    </w:p>
    <w:p w14:paraId="7A82A41B">
      <w:pPr>
        <w:spacing w:line="480" w:lineRule="auto"/>
        <w:ind w:firstLine="0" w:firstLineChars="0"/>
        <w:jc w:val="center"/>
        <w:rPr>
          <w:sz w:val="32"/>
          <w:szCs w:val="36"/>
        </w:rPr>
      </w:pPr>
      <w:r>
        <w:rPr>
          <w:rFonts w:hint="eastAsia"/>
          <w:b/>
          <w:sz w:val="32"/>
          <w:szCs w:val="36"/>
        </w:rPr>
        <w:t xml:space="preserve">目    </w:t>
      </w:r>
      <w:r>
        <w:rPr>
          <w:b/>
          <w:sz w:val="32"/>
          <w:szCs w:val="36"/>
        </w:rPr>
        <w:t>录</w:t>
      </w:r>
    </w:p>
    <w:sdt>
      <w:sdtPr>
        <w:rPr>
          <w:rFonts w:ascii="Times New Roman" w:hAnsi="Times New Roman" w:eastAsia="宋体" w:cs="Times New Roman"/>
          <w:color w:val="auto"/>
          <w:kern w:val="2"/>
          <w:sz w:val="24"/>
          <w:szCs w:val="24"/>
          <w:lang w:val="zh-CN"/>
        </w:rPr>
        <w:id w:val="720331535"/>
        <w:docPartObj>
          <w:docPartGallery w:val="Table of Contents"/>
          <w:docPartUnique/>
        </w:docPartObj>
      </w:sdtPr>
      <w:sdtEndPr>
        <w:rPr>
          <w:rFonts w:ascii="Times New Roman" w:hAnsi="Times New Roman" w:eastAsia="宋体" w:cs="Times New Roman"/>
          <w:bCs/>
          <w:snapToGrid w:val="0"/>
          <w:color w:val="auto"/>
          <w:kern w:val="2"/>
          <w:sz w:val="24"/>
          <w:szCs w:val="24"/>
          <w:lang w:val="zh-CN"/>
        </w:rPr>
      </w:sdtEndPr>
      <w:sdtContent>
        <w:p w14:paraId="6676738F">
          <w:pPr>
            <w:pStyle w:val="82"/>
            <w:tabs>
              <w:tab w:val="left" w:pos="709"/>
              <w:tab w:val="right" w:pos="9120"/>
            </w:tabs>
            <w:adjustRightInd w:val="0"/>
            <w:snapToGrid w:val="0"/>
            <w:spacing w:before="0" w:line="360" w:lineRule="auto"/>
            <w:jc w:val="both"/>
            <w:rPr>
              <w:rFonts w:ascii="Times New Roman" w:hAnsi="Times New Roman" w:eastAsia="宋体" w:cs="Times New Roman"/>
              <w:snapToGrid w:val="0"/>
              <w:sz w:val="24"/>
              <w:szCs w:val="24"/>
            </w:rPr>
          </w:pPr>
        </w:p>
        <w:p w14:paraId="099F1553">
          <w:pPr>
            <w:pStyle w:val="19"/>
            <w:tabs>
              <w:tab w:val="right" w:leader="dot" w:pos="9070"/>
              <w:tab w:val="clear" w:pos="8664"/>
            </w:tabs>
          </w:pPr>
          <w:r>
            <w:rPr>
              <w:snapToGrid w:val="0"/>
              <w:kern w:val="0"/>
            </w:rPr>
            <w:fldChar w:fldCharType="begin"/>
          </w:r>
          <w:r>
            <w:rPr>
              <w:snapToGrid w:val="0"/>
              <w:kern w:val="0"/>
            </w:rPr>
            <w:instrText xml:space="preserve"> TOC \o "1-3" \h \z \u </w:instrText>
          </w:r>
          <w:r>
            <w:rPr>
              <w:snapToGrid w:val="0"/>
              <w:kern w:val="0"/>
            </w:rPr>
            <w:fldChar w:fldCharType="separate"/>
          </w:r>
          <w:r>
            <w:rPr>
              <w:bCs/>
              <w:snapToGrid w:val="0"/>
              <w:kern w:val="0"/>
              <w:lang w:val="zh-CN"/>
            </w:rPr>
            <w:fldChar w:fldCharType="begin"/>
          </w:r>
          <w:r>
            <w:rPr>
              <w:bCs/>
              <w:snapToGrid w:val="0"/>
              <w:kern w:val="0"/>
              <w:lang w:val="zh-CN"/>
            </w:rPr>
            <w:instrText xml:space="preserve"> HYPERLINK \l _Toc21435 </w:instrText>
          </w:r>
          <w:r>
            <w:rPr>
              <w:bCs/>
              <w:snapToGrid w:val="0"/>
              <w:kern w:val="0"/>
              <w:lang w:val="zh-CN"/>
            </w:rPr>
            <w:fldChar w:fldCharType="separate"/>
          </w:r>
          <w:r>
            <w:rPr>
              <w:szCs w:val="32"/>
            </w:rPr>
            <w:t>第1章   一般规定</w:t>
          </w:r>
          <w:r>
            <w:tab/>
          </w:r>
          <w:r>
            <w:fldChar w:fldCharType="begin"/>
          </w:r>
          <w:r>
            <w:instrText xml:space="preserve"> PAGEREF _Toc21435 \h </w:instrText>
          </w:r>
          <w:r>
            <w:fldChar w:fldCharType="separate"/>
          </w:r>
          <w:r>
            <w:t>1</w:t>
          </w:r>
          <w:r>
            <w:fldChar w:fldCharType="end"/>
          </w:r>
          <w:r>
            <w:rPr>
              <w:bCs/>
              <w:snapToGrid w:val="0"/>
              <w:kern w:val="0"/>
              <w:lang w:val="zh-CN"/>
            </w:rPr>
            <w:fldChar w:fldCharType="end"/>
          </w:r>
        </w:p>
        <w:p w14:paraId="68FAA2F3">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_Toc12616 </w:instrText>
          </w:r>
          <w:r>
            <w:rPr>
              <w:bCs/>
              <w:snapToGrid w:val="0"/>
              <w:kern w:val="0"/>
              <w:lang w:val="zh-CN"/>
            </w:rPr>
            <w:fldChar w:fldCharType="separate"/>
          </w:r>
          <w:r>
            <w:rPr>
              <w:rFonts w:hint="eastAsia"/>
            </w:rPr>
            <w:t xml:space="preserve">1.1 </w:t>
          </w:r>
          <w:r>
            <w:t>工程说明</w:t>
          </w:r>
          <w:r>
            <w:tab/>
          </w:r>
          <w:r>
            <w:fldChar w:fldCharType="begin"/>
          </w:r>
          <w:r>
            <w:instrText xml:space="preserve"> PAGEREF _Toc12616 \h </w:instrText>
          </w:r>
          <w:r>
            <w:fldChar w:fldCharType="separate"/>
          </w:r>
          <w:r>
            <w:t>1</w:t>
          </w:r>
          <w:r>
            <w:fldChar w:fldCharType="end"/>
          </w:r>
          <w:r>
            <w:rPr>
              <w:bCs/>
              <w:snapToGrid w:val="0"/>
              <w:kern w:val="0"/>
              <w:lang w:val="zh-CN"/>
            </w:rPr>
            <w:fldChar w:fldCharType="end"/>
          </w:r>
        </w:p>
        <w:p w14:paraId="104871A3">
          <w:pPr>
            <w:pStyle w:val="13"/>
            <w:tabs>
              <w:tab w:val="right" w:leader="dot" w:pos="9070"/>
            </w:tabs>
          </w:pPr>
          <w:r>
            <w:rPr>
              <w:bCs/>
              <w:snapToGrid w:val="0"/>
              <w:kern w:val="0"/>
              <w:lang w:val="zh-CN"/>
            </w:rPr>
            <w:fldChar w:fldCharType="begin"/>
          </w:r>
          <w:r>
            <w:rPr>
              <w:bCs/>
              <w:snapToGrid w:val="0"/>
              <w:kern w:val="0"/>
              <w:lang w:val="zh-CN"/>
            </w:rPr>
            <w:instrText xml:space="preserve"> HYPERLINK \l _Toc6568 </w:instrText>
          </w:r>
          <w:r>
            <w:rPr>
              <w:bCs/>
              <w:snapToGrid w:val="0"/>
              <w:kern w:val="0"/>
              <w:lang w:val="zh-CN"/>
            </w:rPr>
            <w:fldChar w:fldCharType="separate"/>
          </w:r>
          <w:r>
            <w:rPr>
              <w:rFonts w:hint="eastAsia"/>
              <w:szCs w:val="24"/>
            </w:rPr>
            <w:t xml:space="preserve">1.1.1 </w:t>
          </w:r>
          <w:r>
            <w:t>工程概况</w:t>
          </w:r>
          <w:r>
            <w:tab/>
          </w:r>
          <w:r>
            <w:fldChar w:fldCharType="begin"/>
          </w:r>
          <w:r>
            <w:instrText xml:space="preserve"> PAGEREF _Toc6568 \h </w:instrText>
          </w:r>
          <w:r>
            <w:fldChar w:fldCharType="separate"/>
          </w:r>
          <w:r>
            <w:t>1</w:t>
          </w:r>
          <w:r>
            <w:fldChar w:fldCharType="end"/>
          </w:r>
          <w:r>
            <w:rPr>
              <w:bCs/>
              <w:snapToGrid w:val="0"/>
              <w:kern w:val="0"/>
              <w:lang w:val="zh-CN"/>
            </w:rPr>
            <w:fldChar w:fldCharType="end"/>
          </w:r>
        </w:p>
        <w:p w14:paraId="37B474AE">
          <w:pPr>
            <w:pStyle w:val="13"/>
            <w:tabs>
              <w:tab w:val="right" w:leader="dot" w:pos="9070"/>
            </w:tabs>
          </w:pPr>
          <w:r>
            <w:rPr>
              <w:bCs/>
              <w:snapToGrid w:val="0"/>
              <w:kern w:val="0"/>
              <w:lang w:val="zh-CN"/>
            </w:rPr>
            <w:fldChar w:fldCharType="begin"/>
          </w:r>
          <w:r>
            <w:rPr>
              <w:bCs/>
              <w:snapToGrid w:val="0"/>
              <w:kern w:val="0"/>
              <w:lang w:val="zh-CN"/>
            </w:rPr>
            <w:instrText xml:space="preserve"> HYPERLINK \l _Toc30754 </w:instrText>
          </w:r>
          <w:r>
            <w:rPr>
              <w:bCs/>
              <w:snapToGrid w:val="0"/>
              <w:kern w:val="0"/>
              <w:lang w:val="zh-CN"/>
            </w:rPr>
            <w:fldChar w:fldCharType="separate"/>
          </w:r>
          <w:r>
            <w:rPr>
              <w:rFonts w:hint="eastAsia"/>
              <w:szCs w:val="24"/>
            </w:rPr>
            <w:t xml:space="preserve">1.1.2 </w:t>
          </w:r>
          <w:r>
            <w:t>工程地质资料</w:t>
          </w:r>
          <w:r>
            <w:tab/>
          </w:r>
          <w:r>
            <w:fldChar w:fldCharType="begin"/>
          </w:r>
          <w:r>
            <w:instrText xml:space="preserve"> PAGEREF _Toc30754 \h </w:instrText>
          </w:r>
          <w:r>
            <w:fldChar w:fldCharType="separate"/>
          </w:r>
          <w:r>
            <w:t>1</w:t>
          </w:r>
          <w:r>
            <w:fldChar w:fldCharType="end"/>
          </w:r>
          <w:r>
            <w:rPr>
              <w:bCs/>
              <w:snapToGrid w:val="0"/>
              <w:kern w:val="0"/>
              <w:lang w:val="zh-CN"/>
            </w:rPr>
            <w:fldChar w:fldCharType="end"/>
          </w:r>
        </w:p>
        <w:p w14:paraId="1DABB9F2">
          <w:pPr>
            <w:pStyle w:val="13"/>
            <w:tabs>
              <w:tab w:val="right" w:leader="dot" w:pos="9070"/>
            </w:tabs>
          </w:pPr>
          <w:r>
            <w:rPr>
              <w:bCs/>
              <w:snapToGrid w:val="0"/>
              <w:kern w:val="0"/>
              <w:lang w:val="zh-CN"/>
            </w:rPr>
            <w:fldChar w:fldCharType="begin"/>
          </w:r>
          <w:r>
            <w:rPr>
              <w:bCs/>
              <w:snapToGrid w:val="0"/>
              <w:kern w:val="0"/>
              <w:lang w:val="zh-CN"/>
            </w:rPr>
            <w:instrText xml:space="preserve"> HYPERLINK \l _Toc1490 </w:instrText>
          </w:r>
          <w:r>
            <w:rPr>
              <w:bCs/>
              <w:snapToGrid w:val="0"/>
              <w:kern w:val="0"/>
              <w:lang w:val="zh-CN"/>
            </w:rPr>
            <w:fldChar w:fldCharType="separate"/>
          </w:r>
          <w:r>
            <w:rPr>
              <w:rFonts w:hint="eastAsia"/>
              <w:szCs w:val="24"/>
            </w:rPr>
            <w:t xml:space="preserve">1.1.3 </w:t>
          </w:r>
          <w:r>
            <w:t>施工条件</w:t>
          </w:r>
          <w:r>
            <w:tab/>
          </w:r>
          <w:r>
            <w:fldChar w:fldCharType="begin"/>
          </w:r>
          <w:r>
            <w:instrText xml:space="preserve"> PAGEREF _Toc1490 \h </w:instrText>
          </w:r>
          <w:r>
            <w:fldChar w:fldCharType="separate"/>
          </w:r>
          <w:r>
            <w:t>2</w:t>
          </w:r>
          <w:r>
            <w:fldChar w:fldCharType="end"/>
          </w:r>
          <w:r>
            <w:rPr>
              <w:bCs/>
              <w:snapToGrid w:val="0"/>
              <w:kern w:val="0"/>
              <w:lang w:val="zh-CN"/>
            </w:rPr>
            <w:fldChar w:fldCharType="end"/>
          </w:r>
        </w:p>
        <w:p w14:paraId="02FED071">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_Toc20888 </w:instrText>
          </w:r>
          <w:r>
            <w:rPr>
              <w:bCs/>
              <w:snapToGrid w:val="0"/>
              <w:kern w:val="0"/>
              <w:lang w:val="zh-CN"/>
            </w:rPr>
            <w:fldChar w:fldCharType="separate"/>
          </w:r>
          <w:r>
            <w:rPr>
              <w:rFonts w:hint="eastAsia"/>
            </w:rPr>
            <w:t xml:space="preserve">1.2 </w:t>
          </w:r>
          <w:r>
            <w:rPr>
              <w:rFonts w:hint="eastAsia"/>
              <w:lang w:val="en-US" w:eastAsia="zh-CN"/>
            </w:rPr>
            <w:t>招标</w:t>
          </w:r>
          <w:r>
            <w:t>范围</w:t>
          </w:r>
          <w:r>
            <w:tab/>
          </w:r>
          <w:r>
            <w:fldChar w:fldCharType="begin"/>
          </w:r>
          <w:r>
            <w:instrText xml:space="preserve"> PAGEREF _Toc20888 \h </w:instrText>
          </w:r>
          <w:r>
            <w:fldChar w:fldCharType="separate"/>
          </w:r>
          <w:r>
            <w:t>3</w:t>
          </w:r>
          <w:r>
            <w:fldChar w:fldCharType="end"/>
          </w:r>
          <w:r>
            <w:rPr>
              <w:bCs/>
              <w:snapToGrid w:val="0"/>
              <w:kern w:val="0"/>
              <w:lang w:val="zh-CN"/>
            </w:rPr>
            <w:fldChar w:fldCharType="end"/>
          </w:r>
        </w:p>
        <w:p w14:paraId="4DFC377B">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_Toc32566 </w:instrText>
          </w:r>
          <w:r>
            <w:rPr>
              <w:bCs/>
              <w:snapToGrid w:val="0"/>
              <w:kern w:val="0"/>
              <w:lang w:val="zh-CN"/>
            </w:rPr>
            <w:fldChar w:fldCharType="separate"/>
          </w:r>
          <w:r>
            <w:rPr>
              <w:rFonts w:hint="eastAsia"/>
            </w:rPr>
            <w:t xml:space="preserve">1.3 </w:t>
          </w:r>
          <w:r>
            <w:rPr>
              <w:rFonts w:hint="eastAsia"/>
              <w:lang w:eastAsia="zh-CN"/>
            </w:rPr>
            <w:t>招标人</w:t>
          </w:r>
          <w:r>
            <w:t>提供的施工图纸和文件</w:t>
          </w:r>
          <w:r>
            <w:tab/>
          </w:r>
          <w:r>
            <w:fldChar w:fldCharType="begin"/>
          </w:r>
          <w:r>
            <w:instrText xml:space="preserve"> PAGEREF _Toc32566 \h </w:instrText>
          </w:r>
          <w:r>
            <w:fldChar w:fldCharType="separate"/>
          </w:r>
          <w:r>
            <w:t>3</w:t>
          </w:r>
          <w:r>
            <w:fldChar w:fldCharType="end"/>
          </w:r>
          <w:r>
            <w:rPr>
              <w:bCs/>
              <w:snapToGrid w:val="0"/>
              <w:kern w:val="0"/>
              <w:lang w:val="zh-CN"/>
            </w:rPr>
            <w:fldChar w:fldCharType="end"/>
          </w:r>
        </w:p>
        <w:p w14:paraId="57A7E164">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_Toc13627 </w:instrText>
          </w:r>
          <w:r>
            <w:rPr>
              <w:bCs/>
              <w:snapToGrid w:val="0"/>
              <w:kern w:val="0"/>
              <w:lang w:val="zh-CN"/>
            </w:rPr>
            <w:fldChar w:fldCharType="separate"/>
          </w:r>
          <w:r>
            <w:rPr>
              <w:rFonts w:hint="eastAsia"/>
            </w:rPr>
            <w:t xml:space="preserve">1.4 </w:t>
          </w:r>
          <w:r>
            <w:rPr>
              <w:rFonts w:hint="eastAsia"/>
              <w:lang w:eastAsia="zh-CN"/>
            </w:rPr>
            <w:t>投标人</w:t>
          </w:r>
          <w:r>
            <w:t>提交的文件</w:t>
          </w:r>
          <w:r>
            <w:tab/>
          </w:r>
          <w:r>
            <w:fldChar w:fldCharType="begin"/>
          </w:r>
          <w:r>
            <w:instrText xml:space="preserve"> PAGEREF _Toc13627 \h </w:instrText>
          </w:r>
          <w:r>
            <w:fldChar w:fldCharType="separate"/>
          </w:r>
          <w:r>
            <w:t>3</w:t>
          </w:r>
          <w:r>
            <w:fldChar w:fldCharType="end"/>
          </w:r>
          <w:r>
            <w:rPr>
              <w:bCs/>
              <w:snapToGrid w:val="0"/>
              <w:kern w:val="0"/>
              <w:lang w:val="zh-CN"/>
            </w:rPr>
            <w:fldChar w:fldCharType="end"/>
          </w:r>
        </w:p>
        <w:p w14:paraId="1BD1309D">
          <w:pPr>
            <w:pStyle w:val="13"/>
            <w:tabs>
              <w:tab w:val="right" w:leader="dot" w:pos="9070"/>
            </w:tabs>
          </w:pPr>
          <w:r>
            <w:rPr>
              <w:bCs/>
              <w:snapToGrid w:val="0"/>
              <w:kern w:val="0"/>
              <w:lang w:val="zh-CN"/>
            </w:rPr>
            <w:fldChar w:fldCharType="begin"/>
          </w:r>
          <w:r>
            <w:rPr>
              <w:bCs/>
              <w:snapToGrid w:val="0"/>
              <w:kern w:val="0"/>
              <w:lang w:val="zh-CN"/>
            </w:rPr>
            <w:instrText xml:space="preserve"> HYPERLINK \l _Toc16771 </w:instrText>
          </w:r>
          <w:r>
            <w:rPr>
              <w:bCs/>
              <w:snapToGrid w:val="0"/>
              <w:kern w:val="0"/>
              <w:lang w:val="zh-CN"/>
            </w:rPr>
            <w:fldChar w:fldCharType="separate"/>
          </w:r>
          <w:r>
            <w:t>1.4.1  施工总平面布置设计</w:t>
          </w:r>
          <w:r>
            <w:tab/>
          </w:r>
          <w:r>
            <w:fldChar w:fldCharType="begin"/>
          </w:r>
          <w:r>
            <w:instrText xml:space="preserve"> PAGEREF _Toc16771 \h </w:instrText>
          </w:r>
          <w:r>
            <w:fldChar w:fldCharType="separate"/>
          </w:r>
          <w:r>
            <w:t>3</w:t>
          </w:r>
          <w:r>
            <w:fldChar w:fldCharType="end"/>
          </w:r>
          <w:r>
            <w:rPr>
              <w:bCs/>
              <w:snapToGrid w:val="0"/>
              <w:kern w:val="0"/>
              <w:lang w:val="zh-CN"/>
            </w:rPr>
            <w:fldChar w:fldCharType="end"/>
          </w:r>
        </w:p>
        <w:p w14:paraId="23CA1273">
          <w:pPr>
            <w:pStyle w:val="13"/>
            <w:tabs>
              <w:tab w:val="right" w:leader="dot" w:pos="9070"/>
            </w:tabs>
          </w:pPr>
          <w:r>
            <w:rPr>
              <w:bCs/>
              <w:snapToGrid w:val="0"/>
              <w:kern w:val="0"/>
              <w:lang w:val="zh-CN"/>
            </w:rPr>
            <w:fldChar w:fldCharType="begin"/>
          </w:r>
          <w:r>
            <w:rPr>
              <w:bCs/>
              <w:snapToGrid w:val="0"/>
              <w:kern w:val="0"/>
              <w:lang w:val="zh-CN"/>
            </w:rPr>
            <w:instrText xml:space="preserve"> HYPERLINK \l _Toc4312 </w:instrText>
          </w:r>
          <w:r>
            <w:rPr>
              <w:bCs/>
              <w:snapToGrid w:val="0"/>
              <w:kern w:val="0"/>
              <w:lang w:val="zh-CN"/>
            </w:rPr>
            <w:fldChar w:fldCharType="separate"/>
          </w:r>
          <w:r>
            <w:t>1.4.2  施工总进度计划</w:t>
          </w:r>
          <w:r>
            <w:tab/>
          </w:r>
          <w:r>
            <w:fldChar w:fldCharType="begin"/>
          </w:r>
          <w:r>
            <w:instrText xml:space="preserve"> PAGEREF _Toc4312 \h </w:instrText>
          </w:r>
          <w:r>
            <w:fldChar w:fldCharType="separate"/>
          </w:r>
          <w:r>
            <w:t>4</w:t>
          </w:r>
          <w:r>
            <w:fldChar w:fldCharType="end"/>
          </w:r>
          <w:r>
            <w:rPr>
              <w:bCs/>
              <w:snapToGrid w:val="0"/>
              <w:kern w:val="0"/>
              <w:lang w:val="zh-CN"/>
            </w:rPr>
            <w:fldChar w:fldCharType="end"/>
          </w:r>
        </w:p>
        <w:p w14:paraId="369F097F">
          <w:pPr>
            <w:pStyle w:val="13"/>
            <w:tabs>
              <w:tab w:val="right" w:leader="dot" w:pos="9070"/>
            </w:tabs>
          </w:pPr>
          <w:r>
            <w:rPr>
              <w:bCs/>
              <w:snapToGrid w:val="0"/>
              <w:kern w:val="0"/>
              <w:lang w:val="zh-CN"/>
            </w:rPr>
            <w:fldChar w:fldCharType="begin"/>
          </w:r>
          <w:r>
            <w:rPr>
              <w:bCs/>
              <w:snapToGrid w:val="0"/>
              <w:kern w:val="0"/>
              <w:lang w:val="zh-CN"/>
            </w:rPr>
            <w:instrText xml:space="preserve"> HYPERLINK \l _Toc2238 </w:instrText>
          </w:r>
          <w:r>
            <w:rPr>
              <w:bCs/>
              <w:snapToGrid w:val="0"/>
              <w:kern w:val="0"/>
              <w:lang w:val="zh-CN"/>
            </w:rPr>
            <w:fldChar w:fldCharType="separate"/>
          </w:r>
          <w:r>
            <w:t>1.4.3  施工组织（总）设计</w:t>
          </w:r>
          <w:r>
            <w:tab/>
          </w:r>
          <w:r>
            <w:fldChar w:fldCharType="begin"/>
          </w:r>
          <w:r>
            <w:instrText xml:space="preserve"> PAGEREF _Toc2238 \h </w:instrText>
          </w:r>
          <w:r>
            <w:fldChar w:fldCharType="separate"/>
          </w:r>
          <w:r>
            <w:t>4</w:t>
          </w:r>
          <w:r>
            <w:fldChar w:fldCharType="end"/>
          </w:r>
          <w:r>
            <w:rPr>
              <w:bCs/>
              <w:snapToGrid w:val="0"/>
              <w:kern w:val="0"/>
              <w:lang w:val="zh-CN"/>
            </w:rPr>
            <w:fldChar w:fldCharType="end"/>
          </w:r>
        </w:p>
        <w:p w14:paraId="31C3FC75">
          <w:pPr>
            <w:pStyle w:val="13"/>
            <w:tabs>
              <w:tab w:val="right" w:leader="dot" w:pos="9070"/>
            </w:tabs>
          </w:pPr>
          <w:r>
            <w:rPr>
              <w:bCs/>
              <w:snapToGrid w:val="0"/>
              <w:kern w:val="0"/>
              <w:lang w:val="zh-CN"/>
            </w:rPr>
            <w:fldChar w:fldCharType="begin"/>
          </w:r>
          <w:r>
            <w:rPr>
              <w:bCs/>
              <w:snapToGrid w:val="0"/>
              <w:kern w:val="0"/>
              <w:lang w:val="zh-CN"/>
            </w:rPr>
            <w:instrText xml:space="preserve"> HYPERLINK \l _Toc26633 </w:instrText>
          </w:r>
          <w:r>
            <w:rPr>
              <w:bCs/>
              <w:snapToGrid w:val="0"/>
              <w:kern w:val="0"/>
              <w:lang w:val="zh-CN"/>
            </w:rPr>
            <w:fldChar w:fldCharType="separate"/>
          </w:r>
          <w:r>
            <w:t xml:space="preserve">1.4.4  </w:t>
          </w:r>
          <w:r>
            <w:rPr>
              <w:rFonts w:hint="eastAsia"/>
              <w:lang w:eastAsia="zh-CN"/>
            </w:rPr>
            <w:t>投标人</w:t>
          </w:r>
          <w:r>
            <w:t>文件的审批</w:t>
          </w:r>
          <w:r>
            <w:tab/>
          </w:r>
          <w:r>
            <w:fldChar w:fldCharType="begin"/>
          </w:r>
          <w:r>
            <w:instrText xml:space="preserve"> PAGEREF _Toc26633 \h </w:instrText>
          </w:r>
          <w:r>
            <w:fldChar w:fldCharType="separate"/>
          </w:r>
          <w:r>
            <w:t>4</w:t>
          </w:r>
          <w:r>
            <w:fldChar w:fldCharType="end"/>
          </w:r>
          <w:r>
            <w:rPr>
              <w:bCs/>
              <w:snapToGrid w:val="0"/>
              <w:kern w:val="0"/>
              <w:lang w:val="zh-CN"/>
            </w:rPr>
            <w:fldChar w:fldCharType="end"/>
          </w:r>
        </w:p>
        <w:p w14:paraId="15035E23">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_Toc19233 </w:instrText>
          </w:r>
          <w:r>
            <w:rPr>
              <w:bCs/>
              <w:snapToGrid w:val="0"/>
              <w:kern w:val="0"/>
              <w:lang w:val="zh-CN"/>
            </w:rPr>
            <w:fldChar w:fldCharType="separate"/>
          </w:r>
          <w:r>
            <w:rPr>
              <w:rFonts w:hint="eastAsia"/>
            </w:rPr>
            <w:t xml:space="preserve">1.5 </w:t>
          </w:r>
          <w:r>
            <w:rPr>
              <w:rFonts w:hint="eastAsia"/>
              <w:lang w:eastAsia="zh-CN"/>
            </w:rPr>
            <w:t>招标人</w:t>
          </w:r>
          <w:r>
            <w:t>提供的材料和工程设备</w:t>
          </w:r>
          <w:r>
            <w:tab/>
          </w:r>
          <w:r>
            <w:fldChar w:fldCharType="begin"/>
          </w:r>
          <w:r>
            <w:instrText xml:space="preserve"> PAGEREF _Toc19233 \h </w:instrText>
          </w:r>
          <w:r>
            <w:fldChar w:fldCharType="separate"/>
          </w:r>
          <w:r>
            <w:t>5</w:t>
          </w:r>
          <w:r>
            <w:fldChar w:fldCharType="end"/>
          </w:r>
          <w:r>
            <w:rPr>
              <w:bCs/>
              <w:snapToGrid w:val="0"/>
              <w:kern w:val="0"/>
              <w:lang w:val="zh-CN"/>
            </w:rPr>
            <w:fldChar w:fldCharType="end"/>
          </w:r>
        </w:p>
        <w:p w14:paraId="38D7E9E0">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_Toc23837 </w:instrText>
          </w:r>
          <w:r>
            <w:rPr>
              <w:bCs/>
              <w:snapToGrid w:val="0"/>
              <w:kern w:val="0"/>
              <w:lang w:val="zh-CN"/>
            </w:rPr>
            <w:fldChar w:fldCharType="separate"/>
          </w:r>
          <w:r>
            <w:rPr>
              <w:rFonts w:hint="eastAsia"/>
            </w:rPr>
            <w:t xml:space="preserve">1.6 </w:t>
          </w:r>
          <w:r>
            <w:rPr>
              <w:rFonts w:hint="eastAsia"/>
              <w:lang w:eastAsia="zh-CN"/>
            </w:rPr>
            <w:t>投标人</w:t>
          </w:r>
          <w:r>
            <w:t>提供的材料</w:t>
          </w:r>
          <w:r>
            <w:tab/>
          </w:r>
          <w:r>
            <w:fldChar w:fldCharType="begin"/>
          </w:r>
          <w:r>
            <w:instrText xml:space="preserve"> PAGEREF _Toc23837 \h </w:instrText>
          </w:r>
          <w:r>
            <w:fldChar w:fldCharType="separate"/>
          </w:r>
          <w:r>
            <w:t>5</w:t>
          </w:r>
          <w:r>
            <w:fldChar w:fldCharType="end"/>
          </w:r>
          <w:r>
            <w:rPr>
              <w:bCs/>
              <w:snapToGrid w:val="0"/>
              <w:kern w:val="0"/>
              <w:lang w:val="zh-CN"/>
            </w:rPr>
            <w:fldChar w:fldCharType="end"/>
          </w:r>
        </w:p>
        <w:p w14:paraId="3F90EB9E">
          <w:pPr>
            <w:pStyle w:val="13"/>
            <w:tabs>
              <w:tab w:val="right" w:leader="dot" w:pos="9070"/>
            </w:tabs>
          </w:pPr>
          <w:r>
            <w:rPr>
              <w:bCs/>
              <w:snapToGrid w:val="0"/>
              <w:kern w:val="0"/>
              <w:lang w:val="zh-CN"/>
            </w:rPr>
            <w:fldChar w:fldCharType="begin"/>
          </w:r>
          <w:r>
            <w:rPr>
              <w:bCs/>
              <w:snapToGrid w:val="0"/>
              <w:kern w:val="0"/>
              <w:lang w:val="zh-CN"/>
            </w:rPr>
            <w:instrText xml:space="preserve"> HYPERLINK \l _Toc31440 </w:instrText>
          </w:r>
          <w:r>
            <w:rPr>
              <w:bCs/>
              <w:snapToGrid w:val="0"/>
              <w:kern w:val="0"/>
              <w:lang w:val="zh-CN"/>
            </w:rPr>
            <w:fldChar w:fldCharType="separate"/>
          </w:r>
          <w:r>
            <w:t xml:space="preserve">1.6.1  </w:t>
          </w:r>
          <w:r>
            <w:rPr>
              <w:rFonts w:hint="eastAsia"/>
              <w:lang w:eastAsia="zh-CN"/>
            </w:rPr>
            <w:t>投标人</w:t>
          </w:r>
          <w:r>
            <w:t>提供的材料</w:t>
          </w:r>
          <w:r>
            <w:tab/>
          </w:r>
          <w:r>
            <w:fldChar w:fldCharType="begin"/>
          </w:r>
          <w:r>
            <w:instrText xml:space="preserve"> PAGEREF _Toc31440 \h </w:instrText>
          </w:r>
          <w:r>
            <w:fldChar w:fldCharType="separate"/>
          </w:r>
          <w:r>
            <w:t>5</w:t>
          </w:r>
          <w:r>
            <w:fldChar w:fldCharType="end"/>
          </w:r>
          <w:r>
            <w:rPr>
              <w:bCs/>
              <w:snapToGrid w:val="0"/>
              <w:kern w:val="0"/>
              <w:lang w:val="zh-CN"/>
            </w:rPr>
            <w:fldChar w:fldCharType="end"/>
          </w:r>
        </w:p>
        <w:p w14:paraId="085EDBD6">
          <w:pPr>
            <w:pStyle w:val="13"/>
            <w:tabs>
              <w:tab w:val="right" w:leader="dot" w:pos="9070"/>
            </w:tabs>
          </w:pPr>
          <w:r>
            <w:rPr>
              <w:bCs/>
              <w:snapToGrid w:val="0"/>
              <w:kern w:val="0"/>
              <w:lang w:val="zh-CN"/>
            </w:rPr>
            <w:fldChar w:fldCharType="begin"/>
          </w:r>
          <w:r>
            <w:rPr>
              <w:bCs/>
              <w:snapToGrid w:val="0"/>
              <w:kern w:val="0"/>
              <w:lang w:val="zh-CN"/>
            </w:rPr>
            <w:instrText xml:space="preserve"> HYPERLINK \l _Toc22128 </w:instrText>
          </w:r>
          <w:r>
            <w:rPr>
              <w:bCs/>
              <w:snapToGrid w:val="0"/>
              <w:kern w:val="0"/>
              <w:lang w:val="zh-CN"/>
            </w:rPr>
            <w:fldChar w:fldCharType="separate"/>
          </w:r>
          <w:r>
            <w:t xml:space="preserve">1.6.2 </w:t>
          </w:r>
          <w:r>
            <w:rPr>
              <w:rFonts w:hint="eastAsia"/>
              <w:lang w:eastAsia="zh-CN"/>
            </w:rPr>
            <w:t>投标人</w:t>
          </w:r>
          <w:r>
            <w:t>施工设备</w:t>
          </w:r>
          <w:r>
            <w:tab/>
          </w:r>
          <w:r>
            <w:fldChar w:fldCharType="begin"/>
          </w:r>
          <w:r>
            <w:instrText xml:space="preserve"> PAGEREF _Toc22128 \h </w:instrText>
          </w:r>
          <w:r>
            <w:fldChar w:fldCharType="separate"/>
          </w:r>
          <w:r>
            <w:t>6</w:t>
          </w:r>
          <w:r>
            <w:fldChar w:fldCharType="end"/>
          </w:r>
          <w:r>
            <w:rPr>
              <w:bCs/>
              <w:snapToGrid w:val="0"/>
              <w:kern w:val="0"/>
              <w:lang w:val="zh-CN"/>
            </w:rPr>
            <w:fldChar w:fldCharType="end"/>
          </w:r>
        </w:p>
        <w:p w14:paraId="1ADDED97">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_Toc22105 </w:instrText>
          </w:r>
          <w:r>
            <w:rPr>
              <w:bCs/>
              <w:snapToGrid w:val="0"/>
              <w:kern w:val="0"/>
              <w:lang w:val="zh-CN"/>
            </w:rPr>
            <w:fldChar w:fldCharType="separate"/>
          </w:r>
          <w:r>
            <w:rPr>
              <w:rFonts w:hint="eastAsia"/>
            </w:rPr>
            <w:t xml:space="preserve">1.7 </w:t>
          </w:r>
          <w:r>
            <w:t>进度计划的实施</w:t>
          </w:r>
          <w:r>
            <w:tab/>
          </w:r>
          <w:r>
            <w:fldChar w:fldCharType="begin"/>
          </w:r>
          <w:r>
            <w:instrText xml:space="preserve"> PAGEREF _Toc22105 \h </w:instrText>
          </w:r>
          <w:r>
            <w:fldChar w:fldCharType="separate"/>
          </w:r>
          <w:r>
            <w:t>6</w:t>
          </w:r>
          <w:r>
            <w:fldChar w:fldCharType="end"/>
          </w:r>
          <w:r>
            <w:rPr>
              <w:bCs/>
              <w:snapToGrid w:val="0"/>
              <w:kern w:val="0"/>
              <w:lang w:val="zh-CN"/>
            </w:rPr>
            <w:fldChar w:fldCharType="end"/>
          </w:r>
        </w:p>
        <w:p w14:paraId="645711F1">
          <w:pPr>
            <w:pStyle w:val="13"/>
            <w:tabs>
              <w:tab w:val="right" w:leader="dot" w:pos="9070"/>
            </w:tabs>
          </w:pPr>
          <w:r>
            <w:rPr>
              <w:bCs/>
              <w:snapToGrid w:val="0"/>
              <w:kern w:val="0"/>
              <w:lang w:val="zh-CN"/>
            </w:rPr>
            <w:fldChar w:fldCharType="begin"/>
          </w:r>
          <w:r>
            <w:rPr>
              <w:bCs/>
              <w:snapToGrid w:val="0"/>
              <w:kern w:val="0"/>
              <w:lang w:val="zh-CN"/>
            </w:rPr>
            <w:instrText xml:space="preserve"> HYPERLINK \l _Toc19313 </w:instrText>
          </w:r>
          <w:r>
            <w:rPr>
              <w:bCs/>
              <w:snapToGrid w:val="0"/>
              <w:kern w:val="0"/>
              <w:lang w:val="zh-CN"/>
            </w:rPr>
            <w:fldChar w:fldCharType="separate"/>
          </w:r>
          <w:r>
            <w:t>1.7.1  施工总进度实施措施</w:t>
          </w:r>
          <w:r>
            <w:tab/>
          </w:r>
          <w:r>
            <w:fldChar w:fldCharType="begin"/>
          </w:r>
          <w:r>
            <w:instrText xml:space="preserve"> PAGEREF _Toc19313 \h </w:instrText>
          </w:r>
          <w:r>
            <w:fldChar w:fldCharType="separate"/>
          </w:r>
          <w:r>
            <w:t>6</w:t>
          </w:r>
          <w:r>
            <w:fldChar w:fldCharType="end"/>
          </w:r>
          <w:r>
            <w:rPr>
              <w:bCs/>
              <w:snapToGrid w:val="0"/>
              <w:kern w:val="0"/>
              <w:lang w:val="zh-CN"/>
            </w:rPr>
            <w:fldChar w:fldCharType="end"/>
          </w:r>
        </w:p>
        <w:p w14:paraId="7529D771">
          <w:pPr>
            <w:pStyle w:val="13"/>
            <w:tabs>
              <w:tab w:val="right" w:leader="dot" w:pos="9070"/>
            </w:tabs>
          </w:pPr>
          <w:r>
            <w:rPr>
              <w:bCs/>
              <w:snapToGrid w:val="0"/>
              <w:kern w:val="0"/>
              <w:lang w:val="zh-CN"/>
            </w:rPr>
            <w:fldChar w:fldCharType="begin"/>
          </w:r>
          <w:r>
            <w:rPr>
              <w:bCs/>
              <w:snapToGrid w:val="0"/>
              <w:kern w:val="0"/>
              <w:lang w:val="zh-CN"/>
            </w:rPr>
            <w:instrText xml:space="preserve"> HYPERLINK \l _Toc17950 </w:instrText>
          </w:r>
          <w:r>
            <w:rPr>
              <w:bCs/>
              <w:snapToGrid w:val="0"/>
              <w:kern w:val="0"/>
              <w:lang w:val="zh-CN"/>
            </w:rPr>
            <w:fldChar w:fldCharType="separate"/>
          </w:r>
          <w:r>
            <w:t>1.7.2  月进度计划</w:t>
          </w:r>
          <w:r>
            <w:tab/>
          </w:r>
          <w:r>
            <w:fldChar w:fldCharType="begin"/>
          </w:r>
          <w:r>
            <w:instrText xml:space="preserve"> PAGEREF _Toc17950 \h </w:instrText>
          </w:r>
          <w:r>
            <w:fldChar w:fldCharType="separate"/>
          </w:r>
          <w:r>
            <w:t>6</w:t>
          </w:r>
          <w:r>
            <w:fldChar w:fldCharType="end"/>
          </w:r>
          <w:r>
            <w:rPr>
              <w:bCs/>
              <w:snapToGrid w:val="0"/>
              <w:kern w:val="0"/>
              <w:lang w:val="zh-CN"/>
            </w:rPr>
            <w:fldChar w:fldCharType="end"/>
          </w:r>
        </w:p>
        <w:p w14:paraId="7C5D9F8F">
          <w:pPr>
            <w:pStyle w:val="13"/>
            <w:tabs>
              <w:tab w:val="right" w:leader="dot" w:pos="9070"/>
            </w:tabs>
          </w:pPr>
          <w:r>
            <w:rPr>
              <w:bCs/>
              <w:snapToGrid w:val="0"/>
              <w:kern w:val="0"/>
              <w:lang w:val="zh-CN"/>
            </w:rPr>
            <w:fldChar w:fldCharType="begin"/>
          </w:r>
          <w:r>
            <w:rPr>
              <w:bCs/>
              <w:snapToGrid w:val="0"/>
              <w:kern w:val="0"/>
              <w:lang w:val="zh-CN"/>
            </w:rPr>
            <w:instrText xml:space="preserve"> HYPERLINK \l _Toc24293 </w:instrText>
          </w:r>
          <w:r>
            <w:rPr>
              <w:bCs/>
              <w:snapToGrid w:val="0"/>
              <w:kern w:val="0"/>
              <w:lang w:val="zh-CN"/>
            </w:rPr>
            <w:fldChar w:fldCharType="separate"/>
          </w:r>
          <w:r>
            <w:t>1.7.3  月、周进度报告</w:t>
          </w:r>
          <w:r>
            <w:tab/>
          </w:r>
          <w:r>
            <w:fldChar w:fldCharType="begin"/>
          </w:r>
          <w:r>
            <w:instrText xml:space="preserve"> PAGEREF _Toc24293 \h </w:instrText>
          </w:r>
          <w:r>
            <w:fldChar w:fldCharType="separate"/>
          </w:r>
          <w:r>
            <w:t>7</w:t>
          </w:r>
          <w:r>
            <w:fldChar w:fldCharType="end"/>
          </w:r>
          <w:r>
            <w:rPr>
              <w:bCs/>
              <w:snapToGrid w:val="0"/>
              <w:kern w:val="0"/>
              <w:lang w:val="zh-CN"/>
            </w:rPr>
            <w:fldChar w:fldCharType="end"/>
          </w:r>
        </w:p>
        <w:p w14:paraId="67DC137D">
          <w:pPr>
            <w:pStyle w:val="13"/>
            <w:tabs>
              <w:tab w:val="right" w:leader="dot" w:pos="9070"/>
            </w:tabs>
          </w:pPr>
          <w:r>
            <w:rPr>
              <w:bCs/>
              <w:snapToGrid w:val="0"/>
              <w:kern w:val="0"/>
              <w:lang w:val="zh-CN"/>
            </w:rPr>
            <w:fldChar w:fldCharType="begin"/>
          </w:r>
          <w:r>
            <w:rPr>
              <w:bCs/>
              <w:snapToGrid w:val="0"/>
              <w:kern w:val="0"/>
              <w:lang w:val="zh-CN"/>
            </w:rPr>
            <w:instrText xml:space="preserve"> HYPERLINK \l _Toc30229 </w:instrText>
          </w:r>
          <w:r>
            <w:rPr>
              <w:bCs/>
              <w:snapToGrid w:val="0"/>
              <w:kern w:val="0"/>
              <w:lang w:val="zh-CN"/>
            </w:rPr>
            <w:fldChar w:fldCharType="separate"/>
          </w:r>
          <w:r>
            <w:t>1.7.4 进度会议</w:t>
          </w:r>
          <w:r>
            <w:tab/>
          </w:r>
          <w:r>
            <w:fldChar w:fldCharType="begin"/>
          </w:r>
          <w:r>
            <w:instrText xml:space="preserve"> PAGEREF _Toc30229 \h </w:instrText>
          </w:r>
          <w:r>
            <w:fldChar w:fldCharType="separate"/>
          </w:r>
          <w:r>
            <w:t>7</w:t>
          </w:r>
          <w:r>
            <w:fldChar w:fldCharType="end"/>
          </w:r>
          <w:r>
            <w:rPr>
              <w:bCs/>
              <w:snapToGrid w:val="0"/>
              <w:kern w:val="0"/>
              <w:lang w:val="zh-CN"/>
            </w:rPr>
            <w:fldChar w:fldCharType="end"/>
          </w:r>
        </w:p>
        <w:p w14:paraId="6493D6CB">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_Toc22566 </w:instrText>
          </w:r>
          <w:r>
            <w:rPr>
              <w:bCs/>
              <w:snapToGrid w:val="0"/>
              <w:kern w:val="0"/>
              <w:lang w:val="zh-CN"/>
            </w:rPr>
            <w:fldChar w:fldCharType="separate"/>
          </w:r>
          <w:r>
            <w:rPr>
              <w:rFonts w:hint="eastAsia"/>
            </w:rPr>
            <w:t xml:space="preserve">1.8 </w:t>
          </w:r>
          <w:r>
            <w:t>工程质量的检查、检验和验收</w:t>
          </w:r>
          <w:r>
            <w:tab/>
          </w:r>
          <w:r>
            <w:fldChar w:fldCharType="begin"/>
          </w:r>
          <w:r>
            <w:instrText xml:space="preserve"> PAGEREF _Toc22566 \h </w:instrText>
          </w:r>
          <w:r>
            <w:fldChar w:fldCharType="separate"/>
          </w:r>
          <w:r>
            <w:t>7</w:t>
          </w:r>
          <w:r>
            <w:fldChar w:fldCharType="end"/>
          </w:r>
          <w:r>
            <w:rPr>
              <w:bCs/>
              <w:snapToGrid w:val="0"/>
              <w:kern w:val="0"/>
              <w:lang w:val="zh-CN"/>
            </w:rPr>
            <w:fldChar w:fldCharType="end"/>
          </w:r>
        </w:p>
        <w:p w14:paraId="432303AB">
          <w:pPr>
            <w:pStyle w:val="13"/>
            <w:tabs>
              <w:tab w:val="right" w:leader="dot" w:pos="9070"/>
            </w:tabs>
          </w:pPr>
          <w:r>
            <w:rPr>
              <w:bCs/>
              <w:snapToGrid w:val="0"/>
              <w:kern w:val="0"/>
              <w:lang w:val="zh-CN"/>
            </w:rPr>
            <w:fldChar w:fldCharType="begin"/>
          </w:r>
          <w:r>
            <w:rPr>
              <w:bCs/>
              <w:snapToGrid w:val="0"/>
              <w:kern w:val="0"/>
              <w:lang w:val="zh-CN"/>
            </w:rPr>
            <w:instrText xml:space="preserve"> HYPERLINK \l _Toc5764 </w:instrText>
          </w:r>
          <w:r>
            <w:rPr>
              <w:bCs/>
              <w:snapToGrid w:val="0"/>
              <w:kern w:val="0"/>
              <w:lang w:val="zh-CN"/>
            </w:rPr>
            <w:fldChar w:fldCharType="separate"/>
          </w:r>
          <w:r>
            <w:t xml:space="preserve">1.8.1  </w:t>
          </w:r>
          <w:r>
            <w:rPr>
              <w:rFonts w:hint="eastAsia"/>
              <w:lang w:eastAsia="zh-CN"/>
            </w:rPr>
            <w:t>投标人</w:t>
          </w:r>
          <w:r>
            <w:t>的质量自检</w:t>
          </w:r>
          <w:r>
            <w:tab/>
          </w:r>
          <w:r>
            <w:fldChar w:fldCharType="begin"/>
          </w:r>
          <w:r>
            <w:instrText xml:space="preserve"> PAGEREF _Toc5764 \h </w:instrText>
          </w:r>
          <w:r>
            <w:fldChar w:fldCharType="separate"/>
          </w:r>
          <w:r>
            <w:t>7</w:t>
          </w:r>
          <w:r>
            <w:fldChar w:fldCharType="end"/>
          </w:r>
          <w:r>
            <w:rPr>
              <w:bCs/>
              <w:snapToGrid w:val="0"/>
              <w:kern w:val="0"/>
              <w:lang w:val="zh-CN"/>
            </w:rPr>
            <w:fldChar w:fldCharType="end"/>
          </w:r>
        </w:p>
        <w:p w14:paraId="0BB3E151">
          <w:pPr>
            <w:pStyle w:val="13"/>
            <w:tabs>
              <w:tab w:val="right" w:leader="dot" w:pos="9070"/>
            </w:tabs>
          </w:pPr>
          <w:r>
            <w:rPr>
              <w:bCs/>
              <w:snapToGrid w:val="0"/>
              <w:kern w:val="0"/>
              <w:lang w:val="zh-CN"/>
            </w:rPr>
            <w:fldChar w:fldCharType="begin"/>
          </w:r>
          <w:r>
            <w:rPr>
              <w:bCs/>
              <w:snapToGrid w:val="0"/>
              <w:kern w:val="0"/>
              <w:lang w:val="zh-CN"/>
            </w:rPr>
            <w:instrText xml:space="preserve"> HYPERLINK \l _Toc23404 </w:instrText>
          </w:r>
          <w:r>
            <w:rPr>
              <w:bCs/>
              <w:snapToGrid w:val="0"/>
              <w:kern w:val="0"/>
              <w:lang w:val="zh-CN"/>
            </w:rPr>
            <w:fldChar w:fldCharType="separate"/>
          </w:r>
          <w:r>
            <w:t xml:space="preserve">1.8.2 </w:t>
          </w:r>
          <w:r>
            <w:rPr>
              <w:rFonts w:hint="eastAsia"/>
              <w:lang w:eastAsia="zh-CN"/>
            </w:rPr>
            <w:t>招标人</w:t>
          </w:r>
          <w:r>
            <w:t>的质量检查</w:t>
          </w:r>
          <w:r>
            <w:tab/>
          </w:r>
          <w:r>
            <w:fldChar w:fldCharType="begin"/>
          </w:r>
          <w:r>
            <w:instrText xml:space="preserve"> PAGEREF _Toc23404 \h </w:instrText>
          </w:r>
          <w:r>
            <w:fldChar w:fldCharType="separate"/>
          </w:r>
          <w:r>
            <w:t>8</w:t>
          </w:r>
          <w:r>
            <w:fldChar w:fldCharType="end"/>
          </w:r>
          <w:r>
            <w:rPr>
              <w:bCs/>
              <w:snapToGrid w:val="0"/>
              <w:kern w:val="0"/>
              <w:lang w:val="zh-CN"/>
            </w:rPr>
            <w:fldChar w:fldCharType="end"/>
          </w:r>
        </w:p>
        <w:p w14:paraId="0049242F">
          <w:pPr>
            <w:pStyle w:val="13"/>
            <w:tabs>
              <w:tab w:val="right" w:leader="dot" w:pos="9070"/>
            </w:tabs>
          </w:pPr>
          <w:r>
            <w:rPr>
              <w:bCs/>
              <w:snapToGrid w:val="0"/>
              <w:kern w:val="0"/>
              <w:lang w:val="zh-CN"/>
            </w:rPr>
            <w:fldChar w:fldCharType="begin"/>
          </w:r>
          <w:r>
            <w:rPr>
              <w:bCs/>
              <w:snapToGrid w:val="0"/>
              <w:kern w:val="0"/>
              <w:lang w:val="zh-CN"/>
            </w:rPr>
            <w:instrText xml:space="preserve"> HYPERLINK \l _Toc17313 </w:instrText>
          </w:r>
          <w:r>
            <w:rPr>
              <w:bCs/>
              <w:snapToGrid w:val="0"/>
              <w:kern w:val="0"/>
              <w:lang w:val="zh-CN"/>
            </w:rPr>
            <w:fldChar w:fldCharType="separate"/>
          </w:r>
          <w:r>
            <w:t xml:space="preserve">1.8.3 </w:t>
          </w:r>
          <w:r>
            <w:rPr>
              <w:rFonts w:hint="eastAsia"/>
              <w:lang w:eastAsia="zh-CN"/>
            </w:rPr>
            <w:t>招标人</w:t>
          </w:r>
          <w:r>
            <w:t>的完工（预）验收</w:t>
          </w:r>
          <w:r>
            <w:tab/>
          </w:r>
          <w:r>
            <w:fldChar w:fldCharType="begin"/>
          </w:r>
          <w:r>
            <w:instrText xml:space="preserve"> PAGEREF _Toc17313 \h </w:instrText>
          </w:r>
          <w:r>
            <w:fldChar w:fldCharType="separate"/>
          </w:r>
          <w:r>
            <w:t>8</w:t>
          </w:r>
          <w:r>
            <w:fldChar w:fldCharType="end"/>
          </w:r>
          <w:r>
            <w:rPr>
              <w:bCs/>
              <w:snapToGrid w:val="0"/>
              <w:kern w:val="0"/>
              <w:lang w:val="zh-CN"/>
            </w:rPr>
            <w:fldChar w:fldCharType="end"/>
          </w:r>
        </w:p>
        <w:p w14:paraId="1334607C">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_Toc362 </w:instrText>
          </w:r>
          <w:r>
            <w:rPr>
              <w:bCs/>
              <w:snapToGrid w:val="0"/>
              <w:kern w:val="0"/>
              <w:lang w:val="zh-CN"/>
            </w:rPr>
            <w:fldChar w:fldCharType="separate"/>
          </w:r>
          <w:r>
            <w:rPr>
              <w:rFonts w:hint="eastAsia"/>
            </w:rPr>
            <w:t xml:space="preserve">1.9 </w:t>
          </w:r>
          <w:r>
            <w:t>竣工验收</w:t>
          </w:r>
          <w:r>
            <w:tab/>
          </w:r>
          <w:r>
            <w:fldChar w:fldCharType="begin"/>
          </w:r>
          <w:r>
            <w:instrText xml:space="preserve"> PAGEREF _Toc362 \h </w:instrText>
          </w:r>
          <w:r>
            <w:fldChar w:fldCharType="separate"/>
          </w:r>
          <w:r>
            <w:t>8</w:t>
          </w:r>
          <w:r>
            <w:fldChar w:fldCharType="end"/>
          </w:r>
          <w:r>
            <w:rPr>
              <w:bCs/>
              <w:snapToGrid w:val="0"/>
              <w:kern w:val="0"/>
              <w:lang w:val="zh-CN"/>
            </w:rPr>
            <w:fldChar w:fldCharType="end"/>
          </w:r>
        </w:p>
        <w:p w14:paraId="69189D20">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_Toc21317 </w:instrText>
          </w:r>
          <w:r>
            <w:rPr>
              <w:bCs/>
              <w:snapToGrid w:val="0"/>
              <w:kern w:val="0"/>
              <w:lang w:val="zh-CN"/>
            </w:rPr>
            <w:fldChar w:fldCharType="separate"/>
          </w:r>
          <w:r>
            <w:rPr>
              <w:rFonts w:hint="eastAsia"/>
            </w:rPr>
            <w:t xml:space="preserve">1.10 </w:t>
          </w:r>
          <w:r>
            <w:t>工程量计量</w:t>
          </w:r>
          <w:r>
            <w:tab/>
          </w:r>
          <w:r>
            <w:fldChar w:fldCharType="begin"/>
          </w:r>
          <w:r>
            <w:instrText xml:space="preserve"> PAGEREF _Toc21317 \h </w:instrText>
          </w:r>
          <w:r>
            <w:fldChar w:fldCharType="separate"/>
          </w:r>
          <w:r>
            <w:t>9</w:t>
          </w:r>
          <w:r>
            <w:fldChar w:fldCharType="end"/>
          </w:r>
          <w:r>
            <w:rPr>
              <w:bCs/>
              <w:snapToGrid w:val="0"/>
              <w:kern w:val="0"/>
              <w:lang w:val="zh-CN"/>
            </w:rPr>
            <w:fldChar w:fldCharType="end"/>
          </w:r>
        </w:p>
        <w:p w14:paraId="1DCA6814">
          <w:pPr>
            <w:pStyle w:val="13"/>
            <w:tabs>
              <w:tab w:val="right" w:leader="dot" w:pos="9070"/>
            </w:tabs>
          </w:pPr>
          <w:r>
            <w:rPr>
              <w:bCs/>
              <w:snapToGrid w:val="0"/>
              <w:kern w:val="0"/>
              <w:lang w:val="zh-CN"/>
            </w:rPr>
            <w:fldChar w:fldCharType="begin"/>
          </w:r>
          <w:r>
            <w:rPr>
              <w:bCs/>
              <w:snapToGrid w:val="0"/>
              <w:kern w:val="0"/>
              <w:lang w:val="zh-CN"/>
            </w:rPr>
            <w:instrText xml:space="preserve"> HYPERLINK \l _Toc12482 </w:instrText>
          </w:r>
          <w:r>
            <w:rPr>
              <w:bCs/>
              <w:snapToGrid w:val="0"/>
              <w:kern w:val="0"/>
              <w:lang w:val="zh-CN"/>
            </w:rPr>
            <w:fldChar w:fldCharType="separate"/>
          </w:r>
          <w:r>
            <w:t>1.10.1说明</w:t>
          </w:r>
          <w:r>
            <w:tab/>
          </w:r>
          <w:r>
            <w:fldChar w:fldCharType="begin"/>
          </w:r>
          <w:r>
            <w:instrText xml:space="preserve"> PAGEREF _Toc12482 \h </w:instrText>
          </w:r>
          <w:r>
            <w:fldChar w:fldCharType="separate"/>
          </w:r>
          <w:r>
            <w:t>9</w:t>
          </w:r>
          <w:r>
            <w:fldChar w:fldCharType="end"/>
          </w:r>
          <w:r>
            <w:rPr>
              <w:bCs/>
              <w:snapToGrid w:val="0"/>
              <w:kern w:val="0"/>
              <w:lang w:val="zh-CN"/>
            </w:rPr>
            <w:fldChar w:fldCharType="end"/>
          </w:r>
        </w:p>
        <w:p w14:paraId="005E2640">
          <w:pPr>
            <w:pStyle w:val="13"/>
            <w:tabs>
              <w:tab w:val="right" w:leader="dot" w:pos="9070"/>
            </w:tabs>
          </w:pPr>
          <w:r>
            <w:rPr>
              <w:bCs/>
              <w:snapToGrid w:val="0"/>
              <w:kern w:val="0"/>
              <w:lang w:val="zh-CN"/>
            </w:rPr>
            <w:fldChar w:fldCharType="begin"/>
          </w:r>
          <w:r>
            <w:rPr>
              <w:bCs/>
              <w:snapToGrid w:val="0"/>
              <w:kern w:val="0"/>
              <w:lang w:val="zh-CN"/>
            </w:rPr>
            <w:instrText xml:space="preserve"> HYPERLINK \l _Toc268 </w:instrText>
          </w:r>
          <w:r>
            <w:rPr>
              <w:bCs/>
              <w:snapToGrid w:val="0"/>
              <w:kern w:val="0"/>
              <w:lang w:val="zh-CN"/>
            </w:rPr>
            <w:fldChar w:fldCharType="separate"/>
          </w:r>
          <w:r>
            <w:t>1.10.2长度计量</w:t>
          </w:r>
          <w:r>
            <w:tab/>
          </w:r>
          <w:r>
            <w:fldChar w:fldCharType="begin"/>
          </w:r>
          <w:r>
            <w:instrText xml:space="preserve"> PAGEREF _Toc268 \h </w:instrText>
          </w:r>
          <w:r>
            <w:fldChar w:fldCharType="separate"/>
          </w:r>
          <w:r>
            <w:t>9</w:t>
          </w:r>
          <w:r>
            <w:fldChar w:fldCharType="end"/>
          </w:r>
          <w:r>
            <w:rPr>
              <w:bCs/>
              <w:snapToGrid w:val="0"/>
              <w:kern w:val="0"/>
              <w:lang w:val="zh-CN"/>
            </w:rPr>
            <w:fldChar w:fldCharType="end"/>
          </w:r>
        </w:p>
        <w:p w14:paraId="238756B3">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_Toc28699 </w:instrText>
          </w:r>
          <w:r>
            <w:rPr>
              <w:bCs/>
              <w:snapToGrid w:val="0"/>
              <w:kern w:val="0"/>
              <w:lang w:val="zh-CN"/>
            </w:rPr>
            <w:fldChar w:fldCharType="separate"/>
          </w:r>
          <w:r>
            <w:rPr>
              <w:rFonts w:hint="eastAsia"/>
            </w:rPr>
            <w:t xml:space="preserve">1.11 </w:t>
          </w:r>
          <w:r>
            <w:t>引用技术标准和规程规范的规定</w:t>
          </w:r>
          <w:r>
            <w:tab/>
          </w:r>
          <w:r>
            <w:fldChar w:fldCharType="begin"/>
          </w:r>
          <w:r>
            <w:instrText xml:space="preserve"> PAGEREF _Toc28699 \h </w:instrText>
          </w:r>
          <w:r>
            <w:fldChar w:fldCharType="separate"/>
          </w:r>
          <w:r>
            <w:t>9</w:t>
          </w:r>
          <w:r>
            <w:fldChar w:fldCharType="end"/>
          </w:r>
          <w:r>
            <w:rPr>
              <w:bCs/>
              <w:snapToGrid w:val="0"/>
              <w:kern w:val="0"/>
              <w:lang w:val="zh-CN"/>
            </w:rPr>
            <w:fldChar w:fldCharType="end"/>
          </w:r>
        </w:p>
        <w:p w14:paraId="3E401868">
          <w:pPr>
            <w:pStyle w:val="13"/>
            <w:tabs>
              <w:tab w:val="right" w:leader="dot" w:pos="9070"/>
            </w:tabs>
          </w:pPr>
          <w:r>
            <w:rPr>
              <w:bCs/>
              <w:snapToGrid w:val="0"/>
              <w:kern w:val="0"/>
              <w:lang w:val="zh-CN"/>
            </w:rPr>
            <w:fldChar w:fldCharType="begin"/>
          </w:r>
          <w:r>
            <w:rPr>
              <w:bCs/>
              <w:snapToGrid w:val="0"/>
              <w:kern w:val="0"/>
              <w:lang w:val="zh-CN"/>
            </w:rPr>
            <w:instrText xml:space="preserve"> HYPERLINK \l _Toc29848 </w:instrText>
          </w:r>
          <w:r>
            <w:rPr>
              <w:bCs/>
              <w:snapToGrid w:val="0"/>
              <w:kern w:val="0"/>
              <w:lang w:val="zh-CN"/>
            </w:rPr>
            <w:fldChar w:fldCharType="separate"/>
          </w:r>
          <w:r>
            <w:t>1.11.1 遵守国家和行业标准的强制性规定</w:t>
          </w:r>
          <w:r>
            <w:tab/>
          </w:r>
          <w:r>
            <w:fldChar w:fldCharType="begin"/>
          </w:r>
          <w:r>
            <w:instrText xml:space="preserve"> PAGEREF _Toc29848 \h </w:instrText>
          </w:r>
          <w:r>
            <w:fldChar w:fldCharType="separate"/>
          </w:r>
          <w:r>
            <w:t>9</w:t>
          </w:r>
          <w:r>
            <w:fldChar w:fldCharType="end"/>
          </w:r>
          <w:r>
            <w:rPr>
              <w:bCs/>
              <w:snapToGrid w:val="0"/>
              <w:kern w:val="0"/>
              <w:lang w:val="zh-CN"/>
            </w:rPr>
            <w:fldChar w:fldCharType="end"/>
          </w:r>
        </w:p>
        <w:p w14:paraId="5DD8AF42">
          <w:pPr>
            <w:pStyle w:val="13"/>
            <w:tabs>
              <w:tab w:val="right" w:leader="dot" w:pos="9070"/>
            </w:tabs>
          </w:pPr>
          <w:r>
            <w:rPr>
              <w:bCs/>
              <w:snapToGrid w:val="0"/>
              <w:kern w:val="0"/>
              <w:lang w:val="zh-CN"/>
            </w:rPr>
            <w:fldChar w:fldCharType="begin"/>
          </w:r>
          <w:r>
            <w:rPr>
              <w:bCs/>
              <w:snapToGrid w:val="0"/>
              <w:kern w:val="0"/>
              <w:lang w:val="zh-CN"/>
            </w:rPr>
            <w:instrText xml:space="preserve"> HYPERLINK \l _Toc24027 </w:instrText>
          </w:r>
          <w:r>
            <w:rPr>
              <w:bCs/>
              <w:snapToGrid w:val="0"/>
              <w:kern w:val="0"/>
              <w:lang w:val="zh-CN"/>
            </w:rPr>
            <w:fldChar w:fldCharType="separate"/>
          </w:r>
          <w:r>
            <w:t>1.11.2 引用标准和规程规范以最新版本为准</w:t>
          </w:r>
          <w:r>
            <w:tab/>
          </w:r>
          <w:r>
            <w:fldChar w:fldCharType="begin"/>
          </w:r>
          <w:r>
            <w:instrText xml:space="preserve"> PAGEREF _Toc24027 \h </w:instrText>
          </w:r>
          <w:r>
            <w:fldChar w:fldCharType="separate"/>
          </w:r>
          <w:r>
            <w:t>9</w:t>
          </w:r>
          <w:r>
            <w:fldChar w:fldCharType="end"/>
          </w:r>
          <w:r>
            <w:rPr>
              <w:bCs/>
              <w:snapToGrid w:val="0"/>
              <w:kern w:val="0"/>
              <w:lang w:val="zh-CN"/>
            </w:rPr>
            <w:fldChar w:fldCharType="end"/>
          </w:r>
        </w:p>
        <w:p w14:paraId="0B573771">
          <w:pPr>
            <w:pStyle w:val="19"/>
            <w:tabs>
              <w:tab w:val="right" w:leader="dot" w:pos="9070"/>
              <w:tab w:val="clear" w:pos="8664"/>
            </w:tabs>
          </w:pPr>
          <w:r>
            <w:rPr>
              <w:bCs/>
              <w:snapToGrid w:val="0"/>
              <w:kern w:val="0"/>
              <w:lang w:val="zh-CN"/>
            </w:rPr>
            <w:fldChar w:fldCharType="begin"/>
          </w:r>
          <w:r>
            <w:rPr>
              <w:bCs/>
              <w:snapToGrid w:val="0"/>
              <w:kern w:val="0"/>
              <w:lang w:val="zh-CN"/>
            </w:rPr>
            <w:instrText xml:space="preserve"> HYPERLINK \l _Toc15058 </w:instrText>
          </w:r>
          <w:r>
            <w:rPr>
              <w:bCs/>
              <w:snapToGrid w:val="0"/>
              <w:kern w:val="0"/>
              <w:lang w:val="zh-CN"/>
            </w:rPr>
            <w:fldChar w:fldCharType="separate"/>
          </w:r>
          <w:r>
            <w:rPr>
              <w:szCs w:val="32"/>
            </w:rPr>
            <w:t>第2章   施工临时设施</w:t>
          </w:r>
          <w:r>
            <w:tab/>
          </w:r>
          <w:r>
            <w:fldChar w:fldCharType="begin"/>
          </w:r>
          <w:r>
            <w:instrText xml:space="preserve"> PAGEREF _Toc15058 \h </w:instrText>
          </w:r>
          <w:r>
            <w:fldChar w:fldCharType="separate"/>
          </w:r>
          <w:r>
            <w:t>11</w:t>
          </w:r>
          <w:r>
            <w:fldChar w:fldCharType="end"/>
          </w:r>
          <w:r>
            <w:rPr>
              <w:bCs/>
              <w:snapToGrid w:val="0"/>
              <w:kern w:val="0"/>
              <w:lang w:val="zh-CN"/>
            </w:rPr>
            <w:fldChar w:fldCharType="end"/>
          </w:r>
        </w:p>
        <w:p w14:paraId="34EEE91A">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_Toc8924 </w:instrText>
          </w:r>
          <w:r>
            <w:rPr>
              <w:bCs/>
              <w:snapToGrid w:val="0"/>
              <w:kern w:val="0"/>
              <w:lang w:val="zh-CN"/>
            </w:rPr>
            <w:fldChar w:fldCharType="separate"/>
          </w:r>
          <w:r>
            <w:rPr>
              <w:rFonts w:hint="eastAsia"/>
            </w:rPr>
            <w:t xml:space="preserve">2.1 </w:t>
          </w:r>
          <w:r>
            <w:t>一般规定</w:t>
          </w:r>
          <w:r>
            <w:tab/>
          </w:r>
          <w:r>
            <w:fldChar w:fldCharType="begin"/>
          </w:r>
          <w:r>
            <w:instrText xml:space="preserve"> PAGEREF _Toc8924 \h </w:instrText>
          </w:r>
          <w:r>
            <w:fldChar w:fldCharType="separate"/>
          </w:r>
          <w:r>
            <w:t>11</w:t>
          </w:r>
          <w:r>
            <w:fldChar w:fldCharType="end"/>
          </w:r>
          <w:r>
            <w:rPr>
              <w:bCs/>
              <w:snapToGrid w:val="0"/>
              <w:kern w:val="0"/>
              <w:lang w:val="zh-CN"/>
            </w:rPr>
            <w:fldChar w:fldCharType="end"/>
          </w:r>
        </w:p>
        <w:p w14:paraId="005356E7">
          <w:pPr>
            <w:pStyle w:val="13"/>
            <w:tabs>
              <w:tab w:val="right" w:leader="dot" w:pos="9070"/>
            </w:tabs>
          </w:pPr>
          <w:r>
            <w:rPr>
              <w:bCs/>
              <w:snapToGrid w:val="0"/>
              <w:kern w:val="0"/>
              <w:lang w:val="zh-CN"/>
            </w:rPr>
            <w:fldChar w:fldCharType="begin"/>
          </w:r>
          <w:r>
            <w:rPr>
              <w:bCs/>
              <w:snapToGrid w:val="0"/>
              <w:kern w:val="0"/>
              <w:lang w:val="zh-CN"/>
            </w:rPr>
            <w:instrText xml:space="preserve"> HYPERLINK \l _Toc21091 </w:instrText>
          </w:r>
          <w:r>
            <w:rPr>
              <w:bCs/>
              <w:snapToGrid w:val="0"/>
              <w:kern w:val="0"/>
              <w:lang w:val="zh-CN"/>
            </w:rPr>
            <w:fldChar w:fldCharType="separate"/>
          </w:r>
          <w:r>
            <w:rPr>
              <w:rFonts w:hint="eastAsia"/>
            </w:rPr>
            <w:t xml:space="preserve">2.1.1 </w:t>
          </w:r>
          <w:r>
            <w:t>应用范围</w:t>
          </w:r>
          <w:r>
            <w:tab/>
          </w:r>
          <w:r>
            <w:fldChar w:fldCharType="begin"/>
          </w:r>
          <w:r>
            <w:instrText xml:space="preserve"> PAGEREF _Toc21091 \h </w:instrText>
          </w:r>
          <w:r>
            <w:fldChar w:fldCharType="separate"/>
          </w:r>
          <w:r>
            <w:t>11</w:t>
          </w:r>
          <w:r>
            <w:fldChar w:fldCharType="end"/>
          </w:r>
          <w:r>
            <w:rPr>
              <w:bCs/>
              <w:snapToGrid w:val="0"/>
              <w:kern w:val="0"/>
              <w:lang w:val="zh-CN"/>
            </w:rPr>
            <w:fldChar w:fldCharType="end"/>
          </w:r>
        </w:p>
        <w:p w14:paraId="1809D314">
          <w:pPr>
            <w:pStyle w:val="13"/>
            <w:tabs>
              <w:tab w:val="right" w:leader="dot" w:pos="9070"/>
            </w:tabs>
          </w:pPr>
          <w:r>
            <w:rPr>
              <w:bCs/>
              <w:snapToGrid w:val="0"/>
              <w:kern w:val="0"/>
              <w:lang w:val="zh-CN"/>
            </w:rPr>
            <w:fldChar w:fldCharType="begin"/>
          </w:r>
          <w:r>
            <w:rPr>
              <w:bCs/>
              <w:snapToGrid w:val="0"/>
              <w:kern w:val="0"/>
              <w:lang w:val="zh-CN"/>
            </w:rPr>
            <w:instrText xml:space="preserve"> HYPERLINK \l _Toc8079 </w:instrText>
          </w:r>
          <w:r>
            <w:rPr>
              <w:bCs/>
              <w:snapToGrid w:val="0"/>
              <w:kern w:val="0"/>
              <w:lang w:val="zh-CN"/>
            </w:rPr>
            <w:fldChar w:fldCharType="separate"/>
          </w:r>
          <w:r>
            <w:rPr>
              <w:rFonts w:hint="eastAsia"/>
            </w:rPr>
            <w:t xml:space="preserve">2.1.2 </w:t>
          </w:r>
          <w:r>
            <w:rPr>
              <w:rFonts w:hint="eastAsia"/>
              <w:lang w:eastAsia="zh-CN"/>
            </w:rPr>
            <w:t>投标人</w:t>
          </w:r>
          <w:r>
            <w:t>的责任</w:t>
          </w:r>
          <w:r>
            <w:tab/>
          </w:r>
          <w:r>
            <w:fldChar w:fldCharType="begin"/>
          </w:r>
          <w:r>
            <w:instrText xml:space="preserve"> PAGEREF _Toc8079 \h </w:instrText>
          </w:r>
          <w:r>
            <w:fldChar w:fldCharType="separate"/>
          </w:r>
          <w:r>
            <w:t>11</w:t>
          </w:r>
          <w:r>
            <w:fldChar w:fldCharType="end"/>
          </w:r>
          <w:r>
            <w:rPr>
              <w:bCs/>
              <w:snapToGrid w:val="0"/>
              <w:kern w:val="0"/>
              <w:lang w:val="zh-CN"/>
            </w:rPr>
            <w:fldChar w:fldCharType="end"/>
          </w:r>
        </w:p>
        <w:p w14:paraId="084D7FE6">
          <w:pPr>
            <w:pStyle w:val="13"/>
            <w:tabs>
              <w:tab w:val="right" w:leader="dot" w:pos="9070"/>
            </w:tabs>
          </w:pPr>
          <w:r>
            <w:rPr>
              <w:bCs/>
              <w:snapToGrid w:val="0"/>
              <w:kern w:val="0"/>
              <w:lang w:val="zh-CN"/>
            </w:rPr>
            <w:fldChar w:fldCharType="begin"/>
          </w:r>
          <w:r>
            <w:rPr>
              <w:bCs/>
              <w:snapToGrid w:val="0"/>
              <w:kern w:val="0"/>
              <w:lang w:val="zh-CN"/>
            </w:rPr>
            <w:instrText xml:space="preserve"> HYPERLINK \l _Toc11447 </w:instrText>
          </w:r>
          <w:r>
            <w:rPr>
              <w:bCs/>
              <w:snapToGrid w:val="0"/>
              <w:kern w:val="0"/>
              <w:lang w:val="zh-CN"/>
            </w:rPr>
            <w:fldChar w:fldCharType="separate"/>
          </w:r>
          <w:r>
            <w:rPr>
              <w:rFonts w:hint="eastAsia"/>
            </w:rPr>
            <w:t xml:space="preserve">2.1.3 </w:t>
          </w:r>
          <w:r>
            <w:t>引用标准及规范</w:t>
          </w:r>
          <w:r>
            <w:tab/>
          </w:r>
          <w:r>
            <w:fldChar w:fldCharType="begin"/>
          </w:r>
          <w:r>
            <w:instrText xml:space="preserve"> PAGEREF _Toc11447 \h </w:instrText>
          </w:r>
          <w:r>
            <w:fldChar w:fldCharType="separate"/>
          </w:r>
          <w:r>
            <w:t>11</w:t>
          </w:r>
          <w:r>
            <w:fldChar w:fldCharType="end"/>
          </w:r>
          <w:r>
            <w:rPr>
              <w:bCs/>
              <w:snapToGrid w:val="0"/>
              <w:kern w:val="0"/>
              <w:lang w:val="zh-CN"/>
            </w:rPr>
            <w:fldChar w:fldCharType="end"/>
          </w:r>
        </w:p>
        <w:p w14:paraId="51560663">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_Toc20328 </w:instrText>
          </w:r>
          <w:r>
            <w:rPr>
              <w:bCs/>
              <w:snapToGrid w:val="0"/>
              <w:kern w:val="0"/>
              <w:lang w:val="zh-CN"/>
            </w:rPr>
            <w:fldChar w:fldCharType="separate"/>
          </w:r>
          <w:r>
            <w:rPr>
              <w:rFonts w:hint="eastAsia"/>
            </w:rPr>
            <w:t xml:space="preserve">2.2 </w:t>
          </w:r>
          <w:r>
            <w:t>施工测量</w:t>
          </w:r>
          <w:r>
            <w:tab/>
          </w:r>
          <w:r>
            <w:fldChar w:fldCharType="begin"/>
          </w:r>
          <w:r>
            <w:instrText xml:space="preserve"> PAGEREF _Toc20328 \h </w:instrText>
          </w:r>
          <w:r>
            <w:fldChar w:fldCharType="separate"/>
          </w:r>
          <w:r>
            <w:t>12</w:t>
          </w:r>
          <w:r>
            <w:fldChar w:fldCharType="end"/>
          </w:r>
          <w:r>
            <w:rPr>
              <w:bCs/>
              <w:snapToGrid w:val="0"/>
              <w:kern w:val="0"/>
              <w:lang w:val="zh-CN"/>
            </w:rPr>
            <w:fldChar w:fldCharType="end"/>
          </w:r>
        </w:p>
        <w:p w14:paraId="449CC204">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_Toc20550 </w:instrText>
          </w:r>
          <w:r>
            <w:rPr>
              <w:bCs/>
              <w:snapToGrid w:val="0"/>
              <w:kern w:val="0"/>
              <w:lang w:val="zh-CN"/>
            </w:rPr>
            <w:fldChar w:fldCharType="separate"/>
          </w:r>
          <w:r>
            <w:rPr>
              <w:rFonts w:hint="eastAsia"/>
            </w:rPr>
            <w:t xml:space="preserve">2.3 </w:t>
          </w:r>
          <w:r>
            <w:t>现场试验</w:t>
          </w:r>
          <w:r>
            <w:tab/>
          </w:r>
          <w:r>
            <w:fldChar w:fldCharType="begin"/>
          </w:r>
          <w:r>
            <w:instrText xml:space="preserve"> PAGEREF _Toc20550 \h </w:instrText>
          </w:r>
          <w:r>
            <w:fldChar w:fldCharType="separate"/>
          </w:r>
          <w:r>
            <w:t>12</w:t>
          </w:r>
          <w:r>
            <w:fldChar w:fldCharType="end"/>
          </w:r>
          <w:r>
            <w:rPr>
              <w:bCs/>
              <w:snapToGrid w:val="0"/>
              <w:kern w:val="0"/>
              <w:lang w:val="zh-CN"/>
            </w:rPr>
            <w:fldChar w:fldCharType="end"/>
          </w:r>
        </w:p>
        <w:p w14:paraId="3FFEF7A5">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_Toc31888 </w:instrText>
          </w:r>
          <w:r>
            <w:rPr>
              <w:bCs/>
              <w:snapToGrid w:val="0"/>
              <w:kern w:val="0"/>
              <w:lang w:val="zh-CN"/>
            </w:rPr>
            <w:fldChar w:fldCharType="separate"/>
          </w:r>
          <w:r>
            <w:rPr>
              <w:rFonts w:hint="eastAsia"/>
            </w:rPr>
            <w:t xml:space="preserve">2.4 </w:t>
          </w:r>
          <w:r>
            <w:t>施工交通</w:t>
          </w:r>
          <w:r>
            <w:tab/>
          </w:r>
          <w:r>
            <w:fldChar w:fldCharType="begin"/>
          </w:r>
          <w:r>
            <w:instrText xml:space="preserve"> PAGEREF _Toc31888 \h </w:instrText>
          </w:r>
          <w:r>
            <w:fldChar w:fldCharType="separate"/>
          </w:r>
          <w:r>
            <w:t>12</w:t>
          </w:r>
          <w:r>
            <w:fldChar w:fldCharType="end"/>
          </w:r>
          <w:r>
            <w:rPr>
              <w:bCs/>
              <w:snapToGrid w:val="0"/>
              <w:kern w:val="0"/>
              <w:lang w:val="zh-CN"/>
            </w:rPr>
            <w:fldChar w:fldCharType="end"/>
          </w:r>
        </w:p>
        <w:p w14:paraId="3D9C5753">
          <w:pPr>
            <w:pStyle w:val="13"/>
            <w:tabs>
              <w:tab w:val="right" w:leader="dot" w:pos="9070"/>
            </w:tabs>
          </w:pPr>
          <w:r>
            <w:rPr>
              <w:bCs/>
              <w:snapToGrid w:val="0"/>
              <w:kern w:val="0"/>
              <w:lang w:val="zh-CN"/>
            </w:rPr>
            <w:fldChar w:fldCharType="begin"/>
          </w:r>
          <w:r>
            <w:rPr>
              <w:bCs/>
              <w:snapToGrid w:val="0"/>
              <w:kern w:val="0"/>
              <w:lang w:val="zh-CN"/>
            </w:rPr>
            <w:instrText xml:space="preserve"> HYPERLINK \l _Toc28150 </w:instrText>
          </w:r>
          <w:r>
            <w:rPr>
              <w:bCs/>
              <w:snapToGrid w:val="0"/>
              <w:kern w:val="0"/>
              <w:lang w:val="zh-CN"/>
            </w:rPr>
            <w:fldChar w:fldCharType="separate"/>
          </w:r>
          <w:r>
            <w:rPr>
              <w:rFonts w:hint="eastAsia"/>
            </w:rPr>
            <w:t xml:space="preserve">2.4.1 </w:t>
          </w:r>
          <w:r>
            <w:t>场内施工道路</w:t>
          </w:r>
          <w:r>
            <w:tab/>
          </w:r>
          <w:r>
            <w:fldChar w:fldCharType="begin"/>
          </w:r>
          <w:r>
            <w:instrText xml:space="preserve"> PAGEREF _Toc28150 \h </w:instrText>
          </w:r>
          <w:r>
            <w:fldChar w:fldCharType="separate"/>
          </w:r>
          <w:r>
            <w:t>12</w:t>
          </w:r>
          <w:r>
            <w:fldChar w:fldCharType="end"/>
          </w:r>
          <w:r>
            <w:rPr>
              <w:bCs/>
              <w:snapToGrid w:val="0"/>
              <w:kern w:val="0"/>
              <w:lang w:val="zh-CN"/>
            </w:rPr>
            <w:fldChar w:fldCharType="end"/>
          </w:r>
        </w:p>
        <w:p w14:paraId="72C291A2">
          <w:pPr>
            <w:pStyle w:val="13"/>
            <w:tabs>
              <w:tab w:val="right" w:leader="dot" w:pos="9070"/>
            </w:tabs>
          </w:pPr>
          <w:r>
            <w:rPr>
              <w:bCs/>
              <w:snapToGrid w:val="0"/>
              <w:kern w:val="0"/>
              <w:lang w:val="zh-CN"/>
            </w:rPr>
            <w:fldChar w:fldCharType="begin"/>
          </w:r>
          <w:r>
            <w:rPr>
              <w:bCs/>
              <w:snapToGrid w:val="0"/>
              <w:kern w:val="0"/>
              <w:lang w:val="zh-CN"/>
            </w:rPr>
            <w:instrText xml:space="preserve"> HYPERLINK \l _Toc28198 </w:instrText>
          </w:r>
          <w:r>
            <w:rPr>
              <w:bCs/>
              <w:snapToGrid w:val="0"/>
              <w:kern w:val="0"/>
              <w:lang w:val="zh-CN"/>
            </w:rPr>
            <w:fldChar w:fldCharType="separate"/>
          </w:r>
          <w:r>
            <w:rPr>
              <w:rFonts w:hint="eastAsia"/>
            </w:rPr>
            <w:t xml:space="preserve">2.4.2 </w:t>
          </w:r>
          <w:r>
            <w:t>场外公共交通</w:t>
          </w:r>
          <w:r>
            <w:tab/>
          </w:r>
          <w:r>
            <w:fldChar w:fldCharType="begin"/>
          </w:r>
          <w:r>
            <w:instrText xml:space="preserve"> PAGEREF _Toc28198 \h </w:instrText>
          </w:r>
          <w:r>
            <w:fldChar w:fldCharType="separate"/>
          </w:r>
          <w:r>
            <w:t>12</w:t>
          </w:r>
          <w:r>
            <w:fldChar w:fldCharType="end"/>
          </w:r>
          <w:r>
            <w:rPr>
              <w:bCs/>
              <w:snapToGrid w:val="0"/>
              <w:kern w:val="0"/>
              <w:lang w:val="zh-CN"/>
            </w:rPr>
            <w:fldChar w:fldCharType="end"/>
          </w:r>
        </w:p>
        <w:p w14:paraId="519F45A0">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_Toc2779 </w:instrText>
          </w:r>
          <w:r>
            <w:rPr>
              <w:bCs/>
              <w:snapToGrid w:val="0"/>
              <w:kern w:val="0"/>
              <w:lang w:val="zh-CN"/>
            </w:rPr>
            <w:fldChar w:fldCharType="separate"/>
          </w:r>
          <w:r>
            <w:rPr>
              <w:rFonts w:hint="eastAsia"/>
            </w:rPr>
            <w:t xml:space="preserve">2.5 </w:t>
          </w:r>
          <w:r>
            <w:t>施工供水</w:t>
          </w:r>
          <w:r>
            <w:tab/>
          </w:r>
          <w:r>
            <w:fldChar w:fldCharType="begin"/>
          </w:r>
          <w:r>
            <w:instrText xml:space="preserve"> PAGEREF _Toc2779 \h </w:instrText>
          </w:r>
          <w:r>
            <w:fldChar w:fldCharType="separate"/>
          </w:r>
          <w:r>
            <w:t>13</w:t>
          </w:r>
          <w:r>
            <w:fldChar w:fldCharType="end"/>
          </w:r>
          <w:r>
            <w:rPr>
              <w:bCs/>
              <w:snapToGrid w:val="0"/>
              <w:kern w:val="0"/>
              <w:lang w:val="zh-CN"/>
            </w:rPr>
            <w:fldChar w:fldCharType="end"/>
          </w:r>
        </w:p>
        <w:p w14:paraId="76B421BA">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_Toc19871 </w:instrText>
          </w:r>
          <w:r>
            <w:rPr>
              <w:bCs/>
              <w:snapToGrid w:val="0"/>
              <w:kern w:val="0"/>
              <w:lang w:val="zh-CN"/>
            </w:rPr>
            <w:fldChar w:fldCharType="separate"/>
          </w:r>
          <w:r>
            <w:rPr>
              <w:rFonts w:hint="eastAsia"/>
            </w:rPr>
            <w:t xml:space="preserve">2.6 </w:t>
          </w:r>
          <w:r>
            <w:t>弃渣</w:t>
          </w:r>
          <w:r>
            <w:tab/>
          </w:r>
          <w:r>
            <w:fldChar w:fldCharType="begin"/>
          </w:r>
          <w:r>
            <w:instrText xml:space="preserve"> PAGEREF _Toc19871 \h </w:instrText>
          </w:r>
          <w:r>
            <w:fldChar w:fldCharType="separate"/>
          </w:r>
          <w:r>
            <w:t>13</w:t>
          </w:r>
          <w:r>
            <w:fldChar w:fldCharType="end"/>
          </w:r>
          <w:r>
            <w:rPr>
              <w:bCs/>
              <w:snapToGrid w:val="0"/>
              <w:kern w:val="0"/>
              <w:lang w:val="zh-CN"/>
            </w:rPr>
            <w:fldChar w:fldCharType="end"/>
          </w:r>
        </w:p>
        <w:p w14:paraId="4E1DDCB6">
          <w:pPr>
            <w:pStyle w:val="13"/>
            <w:tabs>
              <w:tab w:val="right" w:leader="dot" w:pos="9070"/>
            </w:tabs>
          </w:pPr>
          <w:r>
            <w:rPr>
              <w:bCs/>
              <w:snapToGrid w:val="0"/>
              <w:kern w:val="0"/>
              <w:lang w:val="zh-CN"/>
            </w:rPr>
            <w:fldChar w:fldCharType="begin"/>
          </w:r>
          <w:r>
            <w:rPr>
              <w:bCs/>
              <w:snapToGrid w:val="0"/>
              <w:kern w:val="0"/>
              <w:lang w:val="zh-CN"/>
            </w:rPr>
            <w:instrText xml:space="preserve"> HYPERLINK \l _Toc10395 </w:instrText>
          </w:r>
          <w:r>
            <w:rPr>
              <w:bCs/>
              <w:snapToGrid w:val="0"/>
              <w:kern w:val="0"/>
              <w:lang w:val="zh-CN"/>
            </w:rPr>
            <w:fldChar w:fldCharType="separate"/>
          </w:r>
          <w:r>
            <w:rPr>
              <w:rFonts w:hint="eastAsia"/>
            </w:rPr>
            <w:t xml:space="preserve">2.6.1 </w:t>
          </w:r>
          <w:r>
            <w:rPr>
              <w:rFonts w:hint="eastAsia"/>
              <w:lang w:eastAsia="zh-CN"/>
            </w:rPr>
            <w:t>招标人</w:t>
          </w:r>
          <w:r>
            <w:t>提供弃渣(建筑垃圾)场</w:t>
          </w:r>
          <w:r>
            <w:tab/>
          </w:r>
          <w:r>
            <w:fldChar w:fldCharType="begin"/>
          </w:r>
          <w:r>
            <w:instrText xml:space="preserve"> PAGEREF _Toc10395 \h </w:instrText>
          </w:r>
          <w:r>
            <w:fldChar w:fldCharType="separate"/>
          </w:r>
          <w:r>
            <w:t>13</w:t>
          </w:r>
          <w:r>
            <w:fldChar w:fldCharType="end"/>
          </w:r>
          <w:r>
            <w:rPr>
              <w:bCs/>
              <w:snapToGrid w:val="0"/>
              <w:kern w:val="0"/>
              <w:lang w:val="zh-CN"/>
            </w:rPr>
            <w:fldChar w:fldCharType="end"/>
          </w:r>
        </w:p>
        <w:p w14:paraId="6665264F">
          <w:pPr>
            <w:pStyle w:val="13"/>
            <w:tabs>
              <w:tab w:val="right" w:leader="dot" w:pos="9070"/>
            </w:tabs>
          </w:pPr>
          <w:r>
            <w:rPr>
              <w:bCs/>
              <w:snapToGrid w:val="0"/>
              <w:kern w:val="0"/>
              <w:lang w:val="zh-CN"/>
            </w:rPr>
            <w:fldChar w:fldCharType="begin"/>
          </w:r>
          <w:r>
            <w:rPr>
              <w:bCs/>
              <w:snapToGrid w:val="0"/>
              <w:kern w:val="0"/>
              <w:lang w:val="zh-CN"/>
            </w:rPr>
            <w:instrText xml:space="preserve"> HYPERLINK \l _Toc9214 </w:instrText>
          </w:r>
          <w:r>
            <w:rPr>
              <w:bCs/>
              <w:snapToGrid w:val="0"/>
              <w:kern w:val="0"/>
              <w:lang w:val="zh-CN"/>
            </w:rPr>
            <w:fldChar w:fldCharType="separate"/>
          </w:r>
          <w:r>
            <w:rPr>
              <w:rFonts w:hint="eastAsia"/>
            </w:rPr>
            <w:t xml:space="preserve">2.6.2 </w:t>
          </w:r>
          <w:r>
            <w:rPr>
              <w:rFonts w:hint="eastAsia"/>
              <w:lang w:eastAsia="zh-CN"/>
            </w:rPr>
            <w:t>投标人</w:t>
          </w:r>
          <w:r>
            <w:t>自行外弃渣土</w:t>
          </w:r>
          <w:r>
            <w:tab/>
          </w:r>
          <w:r>
            <w:fldChar w:fldCharType="begin"/>
          </w:r>
          <w:r>
            <w:instrText xml:space="preserve"> PAGEREF _Toc9214 \h </w:instrText>
          </w:r>
          <w:r>
            <w:fldChar w:fldCharType="separate"/>
          </w:r>
          <w:r>
            <w:t>13</w:t>
          </w:r>
          <w:r>
            <w:fldChar w:fldCharType="end"/>
          </w:r>
          <w:r>
            <w:rPr>
              <w:bCs/>
              <w:snapToGrid w:val="0"/>
              <w:kern w:val="0"/>
              <w:lang w:val="zh-CN"/>
            </w:rPr>
            <w:fldChar w:fldCharType="end"/>
          </w:r>
        </w:p>
        <w:p w14:paraId="48E790F0">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_Toc27196 </w:instrText>
          </w:r>
          <w:r>
            <w:rPr>
              <w:bCs/>
              <w:snapToGrid w:val="0"/>
              <w:kern w:val="0"/>
              <w:lang w:val="zh-CN"/>
            </w:rPr>
            <w:fldChar w:fldCharType="separate"/>
          </w:r>
          <w:r>
            <w:rPr>
              <w:rFonts w:hint="eastAsia"/>
            </w:rPr>
            <w:t xml:space="preserve">2.7 </w:t>
          </w:r>
          <w:r>
            <w:t>雨污水</w:t>
          </w:r>
          <w:r>
            <w:tab/>
          </w:r>
          <w:r>
            <w:fldChar w:fldCharType="begin"/>
          </w:r>
          <w:r>
            <w:instrText xml:space="preserve"> PAGEREF _Toc27196 \h </w:instrText>
          </w:r>
          <w:r>
            <w:fldChar w:fldCharType="separate"/>
          </w:r>
          <w:r>
            <w:t>13</w:t>
          </w:r>
          <w:r>
            <w:fldChar w:fldCharType="end"/>
          </w:r>
          <w:r>
            <w:rPr>
              <w:bCs/>
              <w:snapToGrid w:val="0"/>
              <w:kern w:val="0"/>
              <w:lang w:val="zh-CN"/>
            </w:rPr>
            <w:fldChar w:fldCharType="end"/>
          </w:r>
        </w:p>
        <w:p w14:paraId="3E9E6D84">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_Toc5631 </w:instrText>
          </w:r>
          <w:r>
            <w:rPr>
              <w:bCs/>
              <w:snapToGrid w:val="0"/>
              <w:kern w:val="0"/>
              <w:lang w:val="zh-CN"/>
            </w:rPr>
            <w:fldChar w:fldCharType="separate"/>
          </w:r>
          <w:r>
            <w:rPr>
              <w:rFonts w:hint="eastAsia" w:ascii="Times New Roman" w:hAnsi="Times New Roman" w:cs="Times New Roman"/>
              <w:lang w:val="en-US" w:eastAsia="zh-CN"/>
            </w:rPr>
            <w:t xml:space="preserve">2.8 </w:t>
          </w:r>
          <w:r>
            <w:rPr>
              <w:rFonts w:hint="default" w:ascii="Times New Roman" w:hAnsi="Times New Roman" w:cs="Times New Roman"/>
              <w:lang w:val="en-US" w:eastAsia="zh-CN"/>
            </w:rPr>
            <w:t>临时厕所</w:t>
          </w:r>
          <w:r>
            <w:tab/>
          </w:r>
          <w:r>
            <w:fldChar w:fldCharType="begin"/>
          </w:r>
          <w:r>
            <w:instrText xml:space="preserve"> PAGEREF _Toc5631 \h </w:instrText>
          </w:r>
          <w:r>
            <w:fldChar w:fldCharType="separate"/>
          </w:r>
          <w:r>
            <w:t>13</w:t>
          </w:r>
          <w:r>
            <w:fldChar w:fldCharType="end"/>
          </w:r>
          <w:r>
            <w:rPr>
              <w:bCs/>
              <w:snapToGrid w:val="0"/>
              <w:kern w:val="0"/>
              <w:lang w:val="zh-CN"/>
            </w:rPr>
            <w:fldChar w:fldCharType="end"/>
          </w:r>
        </w:p>
        <w:p w14:paraId="3C54A259">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_Toc24622 </w:instrText>
          </w:r>
          <w:r>
            <w:rPr>
              <w:bCs/>
              <w:snapToGrid w:val="0"/>
              <w:kern w:val="0"/>
              <w:lang w:val="zh-CN"/>
            </w:rPr>
            <w:fldChar w:fldCharType="separate"/>
          </w:r>
          <w:r>
            <w:rPr>
              <w:rFonts w:hint="eastAsia"/>
            </w:rPr>
            <w:t xml:space="preserve">2.9 </w:t>
          </w:r>
          <w:r>
            <w:t>临时生产管理和生活设施</w:t>
          </w:r>
          <w:r>
            <w:tab/>
          </w:r>
          <w:r>
            <w:fldChar w:fldCharType="begin"/>
          </w:r>
          <w:r>
            <w:instrText xml:space="preserve"> PAGEREF _Toc24622 \h </w:instrText>
          </w:r>
          <w:r>
            <w:fldChar w:fldCharType="separate"/>
          </w:r>
          <w:r>
            <w:t>14</w:t>
          </w:r>
          <w:r>
            <w:fldChar w:fldCharType="end"/>
          </w:r>
          <w:r>
            <w:rPr>
              <w:bCs/>
              <w:snapToGrid w:val="0"/>
              <w:kern w:val="0"/>
              <w:lang w:val="zh-CN"/>
            </w:rPr>
            <w:fldChar w:fldCharType="end"/>
          </w:r>
        </w:p>
        <w:p w14:paraId="6D7472D8">
          <w:pPr>
            <w:pStyle w:val="19"/>
            <w:tabs>
              <w:tab w:val="right" w:leader="dot" w:pos="9070"/>
              <w:tab w:val="clear" w:pos="8664"/>
            </w:tabs>
          </w:pPr>
          <w:r>
            <w:rPr>
              <w:bCs/>
              <w:snapToGrid w:val="0"/>
              <w:kern w:val="0"/>
              <w:lang w:val="zh-CN"/>
            </w:rPr>
            <w:fldChar w:fldCharType="begin"/>
          </w:r>
          <w:r>
            <w:rPr>
              <w:bCs/>
              <w:snapToGrid w:val="0"/>
              <w:kern w:val="0"/>
              <w:lang w:val="zh-CN"/>
            </w:rPr>
            <w:instrText xml:space="preserve"> HYPERLINK \l _Toc32364 </w:instrText>
          </w:r>
          <w:r>
            <w:rPr>
              <w:bCs/>
              <w:snapToGrid w:val="0"/>
              <w:kern w:val="0"/>
              <w:lang w:val="zh-CN"/>
            </w:rPr>
            <w:fldChar w:fldCharType="separate"/>
          </w:r>
          <w:r>
            <w:rPr>
              <w:szCs w:val="32"/>
            </w:rPr>
            <w:t>第3章   施工安全措施</w:t>
          </w:r>
          <w:r>
            <w:tab/>
          </w:r>
          <w:r>
            <w:fldChar w:fldCharType="begin"/>
          </w:r>
          <w:r>
            <w:instrText xml:space="preserve"> PAGEREF _Toc32364 \h </w:instrText>
          </w:r>
          <w:r>
            <w:fldChar w:fldCharType="separate"/>
          </w:r>
          <w:r>
            <w:t>15</w:t>
          </w:r>
          <w:r>
            <w:fldChar w:fldCharType="end"/>
          </w:r>
          <w:r>
            <w:rPr>
              <w:bCs/>
              <w:snapToGrid w:val="0"/>
              <w:kern w:val="0"/>
              <w:lang w:val="zh-CN"/>
            </w:rPr>
            <w:fldChar w:fldCharType="end"/>
          </w:r>
        </w:p>
        <w:p w14:paraId="43CA85D1">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_Toc15814 </w:instrText>
          </w:r>
          <w:r>
            <w:rPr>
              <w:bCs/>
              <w:snapToGrid w:val="0"/>
              <w:kern w:val="0"/>
              <w:lang w:val="zh-CN"/>
            </w:rPr>
            <w:fldChar w:fldCharType="separate"/>
          </w:r>
          <w:r>
            <w:t>3.1 一般规定</w:t>
          </w:r>
          <w:r>
            <w:tab/>
          </w:r>
          <w:r>
            <w:fldChar w:fldCharType="begin"/>
          </w:r>
          <w:r>
            <w:instrText xml:space="preserve"> PAGEREF _Toc15814 \h </w:instrText>
          </w:r>
          <w:r>
            <w:fldChar w:fldCharType="separate"/>
          </w:r>
          <w:r>
            <w:t>15</w:t>
          </w:r>
          <w:r>
            <w:fldChar w:fldCharType="end"/>
          </w:r>
          <w:r>
            <w:rPr>
              <w:bCs/>
              <w:snapToGrid w:val="0"/>
              <w:kern w:val="0"/>
              <w:lang w:val="zh-CN"/>
            </w:rPr>
            <w:fldChar w:fldCharType="end"/>
          </w:r>
        </w:p>
        <w:p w14:paraId="189D110F">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_Toc16426 </w:instrText>
          </w:r>
          <w:r>
            <w:rPr>
              <w:bCs/>
              <w:snapToGrid w:val="0"/>
              <w:kern w:val="0"/>
              <w:lang w:val="zh-CN"/>
            </w:rPr>
            <w:fldChar w:fldCharType="separate"/>
          </w:r>
          <w:r>
            <w:t>3.2 文明施工</w:t>
          </w:r>
          <w:r>
            <w:tab/>
          </w:r>
          <w:r>
            <w:fldChar w:fldCharType="begin"/>
          </w:r>
          <w:r>
            <w:instrText xml:space="preserve"> PAGEREF _Toc16426 \h </w:instrText>
          </w:r>
          <w:r>
            <w:fldChar w:fldCharType="separate"/>
          </w:r>
          <w:r>
            <w:t>17</w:t>
          </w:r>
          <w:r>
            <w:fldChar w:fldCharType="end"/>
          </w:r>
          <w:r>
            <w:rPr>
              <w:bCs/>
              <w:snapToGrid w:val="0"/>
              <w:kern w:val="0"/>
              <w:lang w:val="zh-CN"/>
            </w:rPr>
            <w:fldChar w:fldCharType="end"/>
          </w:r>
        </w:p>
        <w:p w14:paraId="3FCD9859">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_Toc2961 </w:instrText>
          </w:r>
          <w:r>
            <w:rPr>
              <w:bCs/>
              <w:snapToGrid w:val="0"/>
              <w:kern w:val="0"/>
              <w:lang w:val="zh-CN"/>
            </w:rPr>
            <w:fldChar w:fldCharType="separate"/>
          </w:r>
          <w:r>
            <w:t>3.3 文明施工管理</w:t>
          </w:r>
          <w:r>
            <w:tab/>
          </w:r>
          <w:r>
            <w:fldChar w:fldCharType="begin"/>
          </w:r>
          <w:r>
            <w:instrText xml:space="preserve"> PAGEREF _Toc2961 \h </w:instrText>
          </w:r>
          <w:r>
            <w:fldChar w:fldCharType="separate"/>
          </w:r>
          <w:r>
            <w:t>18</w:t>
          </w:r>
          <w:r>
            <w:fldChar w:fldCharType="end"/>
          </w:r>
          <w:r>
            <w:rPr>
              <w:bCs/>
              <w:snapToGrid w:val="0"/>
              <w:kern w:val="0"/>
              <w:lang w:val="zh-CN"/>
            </w:rPr>
            <w:fldChar w:fldCharType="end"/>
          </w:r>
        </w:p>
        <w:p w14:paraId="089BDD27">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_Toc13778 </w:instrText>
          </w:r>
          <w:r>
            <w:rPr>
              <w:bCs/>
              <w:snapToGrid w:val="0"/>
              <w:kern w:val="0"/>
              <w:lang w:val="zh-CN"/>
            </w:rPr>
            <w:fldChar w:fldCharType="separate"/>
          </w:r>
          <w:r>
            <w:t>3.4 施工安全措施</w:t>
          </w:r>
          <w:r>
            <w:tab/>
          </w:r>
          <w:r>
            <w:fldChar w:fldCharType="begin"/>
          </w:r>
          <w:r>
            <w:instrText xml:space="preserve"> PAGEREF _Toc13778 \h </w:instrText>
          </w:r>
          <w:r>
            <w:fldChar w:fldCharType="separate"/>
          </w:r>
          <w:r>
            <w:t>20</w:t>
          </w:r>
          <w:r>
            <w:fldChar w:fldCharType="end"/>
          </w:r>
          <w:r>
            <w:rPr>
              <w:bCs/>
              <w:snapToGrid w:val="0"/>
              <w:kern w:val="0"/>
              <w:lang w:val="zh-CN"/>
            </w:rPr>
            <w:fldChar w:fldCharType="end"/>
          </w:r>
        </w:p>
        <w:p w14:paraId="5634EF1C">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_Toc17693 </w:instrText>
          </w:r>
          <w:r>
            <w:rPr>
              <w:bCs/>
              <w:snapToGrid w:val="0"/>
              <w:kern w:val="0"/>
              <w:lang w:val="zh-CN"/>
            </w:rPr>
            <w:fldChar w:fldCharType="separate"/>
          </w:r>
          <w:r>
            <w:t>3.5 应急救援措施</w:t>
          </w:r>
          <w:r>
            <w:tab/>
          </w:r>
          <w:r>
            <w:fldChar w:fldCharType="begin"/>
          </w:r>
          <w:r>
            <w:instrText xml:space="preserve"> PAGEREF _Toc17693 \h </w:instrText>
          </w:r>
          <w:r>
            <w:fldChar w:fldCharType="separate"/>
          </w:r>
          <w:r>
            <w:t>22</w:t>
          </w:r>
          <w:r>
            <w:fldChar w:fldCharType="end"/>
          </w:r>
          <w:r>
            <w:rPr>
              <w:bCs/>
              <w:snapToGrid w:val="0"/>
              <w:kern w:val="0"/>
              <w:lang w:val="zh-CN"/>
            </w:rPr>
            <w:fldChar w:fldCharType="end"/>
          </w:r>
        </w:p>
        <w:p w14:paraId="611D0413">
          <w:pPr>
            <w:pStyle w:val="19"/>
            <w:tabs>
              <w:tab w:val="right" w:leader="dot" w:pos="9070"/>
              <w:tab w:val="clear" w:pos="8664"/>
            </w:tabs>
          </w:pPr>
          <w:r>
            <w:rPr>
              <w:bCs/>
              <w:snapToGrid w:val="0"/>
              <w:kern w:val="0"/>
              <w:lang w:val="zh-CN"/>
            </w:rPr>
            <w:fldChar w:fldCharType="begin"/>
          </w:r>
          <w:r>
            <w:rPr>
              <w:bCs/>
              <w:snapToGrid w:val="0"/>
              <w:kern w:val="0"/>
              <w:lang w:val="zh-CN"/>
            </w:rPr>
            <w:instrText xml:space="preserve"> HYPERLINK \l _Toc1579 </w:instrText>
          </w:r>
          <w:r>
            <w:rPr>
              <w:bCs/>
              <w:snapToGrid w:val="0"/>
              <w:kern w:val="0"/>
              <w:lang w:val="zh-CN"/>
            </w:rPr>
            <w:fldChar w:fldCharType="separate"/>
          </w:r>
          <w:r>
            <w:rPr>
              <w:szCs w:val="32"/>
            </w:rPr>
            <w:t>第4章  环境保护和水土保持</w:t>
          </w:r>
          <w:r>
            <w:tab/>
          </w:r>
          <w:r>
            <w:fldChar w:fldCharType="begin"/>
          </w:r>
          <w:r>
            <w:instrText xml:space="preserve"> PAGEREF _Toc1579 \h </w:instrText>
          </w:r>
          <w:r>
            <w:fldChar w:fldCharType="separate"/>
          </w:r>
          <w:r>
            <w:t>23</w:t>
          </w:r>
          <w:r>
            <w:fldChar w:fldCharType="end"/>
          </w:r>
          <w:r>
            <w:rPr>
              <w:bCs/>
              <w:snapToGrid w:val="0"/>
              <w:kern w:val="0"/>
              <w:lang w:val="zh-CN"/>
            </w:rPr>
            <w:fldChar w:fldCharType="end"/>
          </w:r>
        </w:p>
        <w:p w14:paraId="24D1FB5F">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_Toc27155 </w:instrText>
          </w:r>
          <w:r>
            <w:rPr>
              <w:bCs/>
              <w:snapToGrid w:val="0"/>
              <w:kern w:val="0"/>
              <w:lang w:val="zh-CN"/>
            </w:rPr>
            <w:fldChar w:fldCharType="separate"/>
          </w:r>
          <w:r>
            <w:rPr>
              <w:rFonts w:hint="eastAsia"/>
            </w:rPr>
            <w:t xml:space="preserve">4.1 </w:t>
          </w:r>
          <w:r>
            <w:t>一般规定</w:t>
          </w:r>
          <w:r>
            <w:tab/>
          </w:r>
          <w:r>
            <w:fldChar w:fldCharType="begin"/>
          </w:r>
          <w:r>
            <w:instrText xml:space="preserve"> PAGEREF _Toc27155 \h </w:instrText>
          </w:r>
          <w:r>
            <w:fldChar w:fldCharType="separate"/>
          </w:r>
          <w:r>
            <w:t>23</w:t>
          </w:r>
          <w:r>
            <w:fldChar w:fldCharType="end"/>
          </w:r>
          <w:r>
            <w:rPr>
              <w:bCs/>
              <w:snapToGrid w:val="0"/>
              <w:kern w:val="0"/>
              <w:lang w:val="zh-CN"/>
            </w:rPr>
            <w:fldChar w:fldCharType="end"/>
          </w:r>
        </w:p>
        <w:p w14:paraId="70472F32">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_Toc19056 </w:instrText>
          </w:r>
          <w:r>
            <w:rPr>
              <w:bCs/>
              <w:snapToGrid w:val="0"/>
              <w:kern w:val="0"/>
              <w:lang w:val="zh-CN"/>
            </w:rPr>
            <w:fldChar w:fldCharType="separate"/>
          </w:r>
          <w:r>
            <w:rPr>
              <w:rFonts w:hint="eastAsia"/>
            </w:rPr>
            <w:t xml:space="preserve">4.2 </w:t>
          </w:r>
          <w:r>
            <w:t>施工环境保护</w:t>
          </w:r>
          <w:r>
            <w:tab/>
          </w:r>
          <w:r>
            <w:fldChar w:fldCharType="begin"/>
          </w:r>
          <w:r>
            <w:instrText xml:space="preserve"> PAGEREF _Toc19056 \h </w:instrText>
          </w:r>
          <w:r>
            <w:fldChar w:fldCharType="separate"/>
          </w:r>
          <w:r>
            <w:t>23</w:t>
          </w:r>
          <w:r>
            <w:fldChar w:fldCharType="end"/>
          </w:r>
          <w:r>
            <w:rPr>
              <w:bCs/>
              <w:snapToGrid w:val="0"/>
              <w:kern w:val="0"/>
              <w:lang w:val="zh-CN"/>
            </w:rPr>
            <w:fldChar w:fldCharType="end"/>
          </w:r>
        </w:p>
        <w:p w14:paraId="6CFAE86A">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_Toc29133 </w:instrText>
          </w:r>
          <w:r>
            <w:rPr>
              <w:bCs/>
              <w:snapToGrid w:val="0"/>
              <w:kern w:val="0"/>
              <w:lang w:val="zh-CN"/>
            </w:rPr>
            <w:fldChar w:fldCharType="separate"/>
          </w:r>
          <w:r>
            <w:rPr>
              <w:rFonts w:hint="eastAsia"/>
            </w:rPr>
            <w:t xml:space="preserve">4.3 </w:t>
          </w:r>
          <w:r>
            <w:t>水土保持</w:t>
          </w:r>
          <w:r>
            <w:tab/>
          </w:r>
          <w:r>
            <w:fldChar w:fldCharType="begin"/>
          </w:r>
          <w:r>
            <w:instrText xml:space="preserve"> PAGEREF _Toc29133 \h </w:instrText>
          </w:r>
          <w:r>
            <w:fldChar w:fldCharType="separate"/>
          </w:r>
          <w:r>
            <w:t>24</w:t>
          </w:r>
          <w:r>
            <w:fldChar w:fldCharType="end"/>
          </w:r>
          <w:r>
            <w:rPr>
              <w:bCs/>
              <w:snapToGrid w:val="0"/>
              <w:kern w:val="0"/>
              <w:lang w:val="zh-CN"/>
            </w:rPr>
            <w:fldChar w:fldCharType="end"/>
          </w:r>
        </w:p>
        <w:p w14:paraId="01D64A98">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_Toc7239 </w:instrText>
          </w:r>
          <w:r>
            <w:rPr>
              <w:bCs/>
              <w:snapToGrid w:val="0"/>
              <w:kern w:val="0"/>
              <w:lang w:val="zh-CN"/>
            </w:rPr>
            <w:fldChar w:fldCharType="separate"/>
          </w:r>
          <w:r>
            <w:rPr>
              <w:rFonts w:hint="eastAsia"/>
            </w:rPr>
            <w:t xml:space="preserve">4.4 </w:t>
          </w:r>
          <w:r>
            <w:t>环境清理</w:t>
          </w:r>
          <w:r>
            <w:tab/>
          </w:r>
          <w:r>
            <w:fldChar w:fldCharType="begin"/>
          </w:r>
          <w:r>
            <w:instrText xml:space="preserve"> PAGEREF _Toc7239 \h </w:instrText>
          </w:r>
          <w:r>
            <w:fldChar w:fldCharType="separate"/>
          </w:r>
          <w:r>
            <w:t>24</w:t>
          </w:r>
          <w:r>
            <w:fldChar w:fldCharType="end"/>
          </w:r>
          <w:r>
            <w:rPr>
              <w:bCs/>
              <w:snapToGrid w:val="0"/>
              <w:kern w:val="0"/>
              <w:lang w:val="zh-CN"/>
            </w:rPr>
            <w:fldChar w:fldCharType="end"/>
          </w:r>
        </w:p>
        <w:p w14:paraId="75EC31CA">
          <w:pPr>
            <w:pStyle w:val="19"/>
            <w:tabs>
              <w:tab w:val="right" w:leader="dot" w:pos="9070"/>
              <w:tab w:val="clear" w:pos="8664"/>
            </w:tabs>
          </w:pPr>
          <w:r>
            <w:rPr>
              <w:bCs/>
              <w:snapToGrid w:val="0"/>
              <w:kern w:val="0"/>
              <w:lang w:val="zh-CN"/>
            </w:rPr>
            <w:fldChar w:fldCharType="begin"/>
          </w:r>
          <w:r>
            <w:rPr>
              <w:bCs/>
              <w:snapToGrid w:val="0"/>
              <w:kern w:val="0"/>
              <w:lang w:val="zh-CN"/>
            </w:rPr>
            <w:instrText xml:space="preserve"> HYPERLINK \l _Toc3421 </w:instrText>
          </w:r>
          <w:r>
            <w:rPr>
              <w:bCs/>
              <w:snapToGrid w:val="0"/>
              <w:kern w:val="0"/>
              <w:lang w:val="zh-CN"/>
            </w:rPr>
            <w:fldChar w:fldCharType="separate"/>
          </w:r>
          <w:r>
            <w:rPr>
              <w:szCs w:val="32"/>
            </w:rPr>
            <w:t>第5章</w:t>
          </w:r>
          <w:r>
            <w:rPr>
              <w:rFonts w:hint="eastAsia"/>
              <w:szCs w:val="32"/>
            </w:rPr>
            <w:t xml:space="preserve"> </w:t>
          </w:r>
          <w:r>
            <w:rPr>
              <w:szCs w:val="32"/>
            </w:rPr>
            <w:t xml:space="preserve"> 技术要求</w:t>
          </w:r>
          <w:r>
            <w:tab/>
          </w:r>
          <w:r>
            <w:fldChar w:fldCharType="begin"/>
          </w:r>
          <w:r>
            <w:instrText xml:space="preserve"> PAGEREF _Toc3421 \h </w:instrText>
          </w:r>
          <w:r>
            <w:fldChar w:fldCharType="separate"/>
          </w:r>
          <w:r>
            <w:t>25</w:t>
          </w:r>
          <w:r>
            <w:fldChar w:fldCharType="end"/>
          </w:r>
          <w:r>
            <w:rPr>
              <w:bCs/>
              <w:snapToGrid w:val="0"/>
              <w:kern w:val="0"/>
              <w:lang w:val="zh-CN"/>
            </w:rPr>
            <w:fldChar w:fldCharType="end"/>
          </w:r>
        </w:p>
        <w:p w14:paraId="21CCDB32">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_Toc12799 </w:instrText>
          </w:r>
          <w:r>
            <w:rPr>
              <w:bCs/>
              <w:snapToGrid w:val="0"/>
              <w:kern w:val="0"/>
              <w:lang w:val="zh-CN"/>
            </w:rPr>
            <w:fldChar w:fldCharType="separate"/>
          </w:r>
          <w:r>
            <w:rPr>
              <w:rFonts w:hint="eastAsia" w:ascii="Times New Roman" w:hAnsi="Times New Roman" w:cs="Times New Roman"/>
              <w:vanish w:val="0"/>
              <w:kern w:val="2"/>
              <w:szCs w:val="24"/>
            </w:rPr>
            <w:t xml:space="preserve">5.1 </w:t>
          </w:r>
          <w:r>
            <w:rPr>
              <w:rFonts w:ascii="Times New Roman" w:hAnsi="Times New Roman" w:cs="Times New Roman"/>
            </w:rPr>
            <w:t>一般</w:t>
          </w:r>
          <w:r>
            <w:rPr>
              <w:rFonts w:ascii="Times New Roman" w:hAnsi="Times New Roman" w:cs="Times New Roman"/>
              <w:kern w:val="2"/>
            </w:rPr>
            <w:t>规定</w:t>
          </w:r>
          <w:r>
            <w:tab/>
          </w:r>
          <w:r>
            <w:fldChar w:fldCharType="begin"/>
          </w:r>
          <w:r>
            <w:instrText xml:space="preserve"> PAGEREF _Toc12799 \h </w:instrText>
          </w:r>
          <w:r>
            <w:fldChar w:fldCharType="separate"/>
          </w:r>
          <w:r>
            <w:t>25</w:t>
          </w:r>
          <w:r>
            <w:fldChar w:fldCharType="end"/>
          </w:r>
          <w:r>
            <w:rPr>
              <w:bCs/>
              <w:snapToGrid w:val="0"/>
              <w:kern w:val="0"/>
              <w:lang w:val="zh-CN"/>
            </w:rPr>
            <w:fldChar w:fldCharType="end"/>
          </w:r>
        </w:p>
        <w:p w14:paraId="6D100F15">
          <w:pPr>
            <w:pStyle w:val="13"/>
            <w:tabs>
              <w:tab w:val="right" w:leader="dot" w:pos="9070"/>
            </w:tabs>
          </w:pPr>
          <w:r>
            <w:rPr>
              <w:bCs/>
              <w:snapToGrid w:val="0"/>
              <w:kern w:val="0"/>
              <w:lang w:val="zh-CN"/>
            </w:rPr>
            <w:fldChar w:fldCharType="begin"/>
          </w:r>
          <w:r>
            <w:rPr>
              <w:bCs/>
              <w:snapToGrid w:val="0"/>
              <w:kern w:val="0"/>
              <w:lang w:val="zh-CN"/>
            </w:rPr>
            <w:instrText xml:space="preserve"> HYPERLINK \l _Toc16410 </w:instrText>
          </w:r>
          <w:r>
            <w:rPr>
              <w:bCs/>
              <w:snapToGrid w:val="0"/>
              <w:kern w:val="0"/>
              <w:lang w:val="zh-CN"/>
            </w:rPr>
            <w:fldChar w:fldCharType="separate"/>
          </w:r>
          <w:r>
            <w:rPr>
              <w:kern w:val="0"/>
            </w:rPr>
            <w:t xml:space="preserve">5.1.1  </w:t>
          </w:r>
          <w:r>
            <w:rPr>
              <w:rFonts w:hint="eastAsia"/>
              <w:kern w:val="0"/>
              <w:lang w:eastAsia="zh-CN"/>
            </w:rPr>
            <w:t>投标人</w:t>
          </w:r>
          <w:r>
            <w:rPr>
              <w:kern w:val="0"/>
            </w:rPr>
            <w:t>的责任</w:t>
          </w:r>
          <w:r>
            <w:tab/>
          </w:r>
          <w:r>
            <w:fldChar w:fldCharType="begin"/>
          </w:r>
          <w:r>
            <w:instrText xml:space="preserve"> PAGEREF _Toc16410 \h </w:instrText>
          </w:r>
          <w:r>
            <w:fldChar w:fldCharType="separate"/>
          </w:r>
          <w:r>
            <w:t>25</w:t>
          </w:r>
          <w:r>
            <w:fldChar w:fldCharType="end"/>
          </w:r>
          <w:r>
            <w:rPr>
              <w:bCs/>
              <w:snapToGrid w:val="0"/>
              <w:kern w:val="0"/>
              <w:lang w:val="zh-CN"/>
            </w:rPr>
            <w:fldChar w:fldCharType="end"/>
          </w:r>
        </w:p>
        <w:p w14:paraId="28603210">
          <w:pPr>
            <w:pStyle w:val="13"/>
            <w:tabs>
              <w:tab w:val="right" w:leader="dot" w:pos="9070"/>
            </w:tabs>
          </w:pPr>
          <w:r>
            <w:rPr>
              <w:bCs/>
              <w:snapToGrid w:val="0"/>
              <w:kern w:val="0"/>
              <w:lang w:val="zh-CN"/>
            </w:rPr>
            <w:fldChar w:fldCharType="begin"/>
          </w:r>
          <w:r>
            <w:rPr>
              <w:bCs/>
              <w:snapToGrid w:val="0"/>
              <w:kern w:val="0"/>
              <w:lang w:val="zh-CN"/>
            </w:rPr>
            <w:instrText xml:space="preserve"> HYPERLINK \l _Toc14006 </w:instrText>
          </w:r>
          <w:r>
            <w:rPr>
              <w:bCs/>
              <w:snapToGrid w:val="0"/>
              <w:kern w:val="0"/>
              <w:lang w:val="zh-CN"/>
            </w:rPr>
            <w:fldChar w:fldCharType="separate"/>
          </w:r>
          <w:r>
            <w:rPr>
              <w:kern w:val="0"/>
            </w:rPr>
            <w:t>5.1.2  主要提交文件</w:t>
          </w:r>
          <w:r>
            <w:tab/>
          </w:r>
          <w:r>
            <w:fldChar w:fldCharType="begin"/>
          </w:r>
          <w:r>
            <w:instrText xml:space="preserve"> PAGEREF _Toc14006 \h </w:instrText>
          </w:r>
          <w:r>
            <w:fldChar w:fldCharType="separate"/>
          </w:r>
          <w:r>
            <w:t>25</w:t>
          </w:r>
          <w:r>
            <w:fldChar w:fldCharType="end"/>
          </w:r>
          <w:r>
            <w:rPr>
              <w:bCs/>
              <w:snapToGrid w:val="0"/>
              <w:kern w:val="0"/>
              <w:lang w:val="zh-CN"/>
            </w:rPr>
            <w:fldChar w:fldCharType="end"/>
          </w:r>
        </w:p>
        <w:p w14:paraId="2FBCF05D">
          <w:pPr>
            <w:pStyle w:val="13"/>
            <w:tabs>
              <w:tab w:val="right" w:leader="dot" w:pos="9070"/>
            </w:tabs>
          </w:pPr>
          <w:r>
            <w:rPr>
              <w:bCs/>
              <w:snapToGrid w:val="0"/>
              <w:kern w:val="0"/>
              <w:lang w:val="zh-CN"/>
            </w:rPr>
            <w:fldChar w:fldCharType="begin"/>
          </w:r>
          <w:r>
            <w:rPr>
              <w:bCs/>
              <w:snapToGrid w:val="0"/>
              <w:kern w:val="0"/>
              <w:lang w:val="zh-CN"/>
            </w:rPr>
            <w:instrText xml:space="preserve"> HYPERLINK \l _Toc28998 </w:instrText>
          </w:r>
          <w:r>
            <w:rPr>
              <w:bCs/>
              <w:snapToGrid w:val="0"/>
              <w:kern w:val="0"/>
              <w:lang w:val="zh-CN"/>
            </w:rPr>
            <w:fldChar w:fldCharType="separate"/>
          </w:r>
          <w:r>
            <w:rPr>
              <w:kern w:val="0"/>
            </w:rPr>
            <w:t xml:space="preserve">5.1.3 </w:t>
          </w:r>
          <w:r>
            <w:rPr>
              <w:bCs/>
            </w:rPr>
            <w:t xml:space="preserve"> </w:t>
          </w:r>
          <w:r>
            <w:rPr>
              <w:kern w:val="0"/>
            </w:rPr>
            <w:t>执行标准</w:t>
          </w:r>
          <w:r>
            <w:tab/>
          </w:r>
          <w:r>
            <w:fldChar w:fldCharType="begin"/>
          </w:r>
          <w:r>
            <w:instrText xml:space="preserve"> PAGEREF _Toc28998 \h </w:instrText>
          </w:r>
          <w:r>
            <w:fldChar w:fldCharType="separate"/>
          </w:r>
          <w:r>
            <w:t>25</w:t>
          </w:r>
          <w:r>
            <w:fldChar w:fldCharType="end"/>
          </w:r>
          <w:r>
            <w:rPr>
              <w:bCs/>
              <w:snapToGrid w:val="0"/>
              <w:kern w:val="0"/>
              <w:lang w:val="zh-CN"/>
            </w:rPr>
            <w:fldChar w:fldCharType="end"/>
          </w:r>
        </w:p>
        <w:p w14:paraId="29453151">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_Toc8922 </w:instrText>
          </w:r>
          <w:r>
            <w:rPr>
              <w:bCs/>
              <w:snapToGrid w:val="0"/>
              <w:kern w:val="0"/>
              <w:lang w:val="zh-CN"/>
            </w:rPr>
            <w:fldChar w:fldCharType="separate"/>
          </w:r>
          <w:r>
            <w:rPr>
              <w:rFonts w:hint="eastAsia"/>
              <w:szCs w:val="24"/>
            </w:rPr>
            <w:t xml:space="preserve">5.2 </w:t>
          </w:r>
          <w:r>
            <w:t>工作内容与技术要求</w:t>
          </w:r>
          <w:r>
            <w:tab/>
          </w:r>
          <w:r>
            <w:fldChar w:fldCharType="begin"/>
          </w:r>
          <w:r>
            <w:instrText xml:space="preserve"> PAGEREF _Toc8922 \h </w:instrText>
          </w:r>
          <w:r>
            <w:fldChar w:fldCharType="separate"/>
          </w:r>
          <w:r>
            <w:t>27</w:t>
          </w:r>
          <w:r>
            <w:fldChar w:fldCharType="end"/>
          </w:r>
          <w:r>
            <w:rPr>
              <w:bCs/>
              <w:snapToGrid w:val="0"/>
              <w:kern w:val="0"/>
              <w:lang w:val="zh-CN"/>
            </w:rPr>
            <w:fldChar w:fldCharType="end"/>
          </w:r>
        </w:p>
        <w:p w14:paraId="0F04463D">
          <w:pPr>
            <w:pStyle w:val="13"/>
            <w:tabs>
              <w:tab w:val="right" w:leader="dot" w:pos="9070"/>
            </w:tabs>
          </w:pPr>
          <w:r>
            <w:rPr>
              <w:bCs/>
              <w:snapToGrid w:val="0"/>
              <w:kern w:val="0"/>
              <w:lang w:val="zh-CN"/>
            </w:rPr>
            <w:fldChar w:fldCharType="begin"/>
          </w:r>
          <w:r>
            <w:rPr>
              <w:bCs/>
              <w:snapToGrid w:val="0"/>
              <w:kern w:val="0"/>
              <w:lang w:val="zh-CN"/>
            </w:rPr>
            <w:instrText xml:space="preserve"> HYPERLINK \l _Toc29958 </w:instrText>
          </w:r>
          <w:r>
            <w:rPr>
              <w:bCs/>
              <w:snapToGrid w:val="0"/>
              <w:kern w:val="0"/>
              <w:lang w:val="zh-CN"/>
            </w:rPr>
            <w:fldChar w:fldCharType="separate"/>
          </w:r>
          <w:r>
            <w:rPr>
              <w:rFonts w:hint="default" w:ascii="Times New Roman" w:hAnsi="Times New Roman" w:cs="Times New Roman"/>
              <w:kern w:val="0"/>
              <w:szCs w:val="24"/>
            </w:rPr>
            <w:t xml:space="preserve">5.2.1 </w:t>
          </w:r>
          <w:r>
            <w:rPr>
              <w:kern w:val="0"/>
            </w:rPr>
            <w:t>一般要求</w:t>
          </w:r>
          <w:r>
            <w:tab/>
          </w:r>
          <w:r>
            <w:fldChar w:fldCharType="begin"/>
          </w:r>
          <w:r>
            <w:instrText xml:space="preserve"> PAGEREF _Toc29958 \h </w:instrText>
          </w:r>
          <w:r>
            <w:fldChar w:fldCharType="separate"/>
          </w:r>
          <w:r>
            <w:t>27</w:t>
          </w:r>
          <w:r>
            <w:fldChar w:fldCharType="end"/>
          </w:r>
          <w:r>
            <w:rPr>
              <w:bCs/>
              <w:snapToGrid w:val="0"/>
              <w:kern w:val="0"/>
              <w:lang w:val="zh-CN"/>
            </w:rPr>
            <w:fldChar w:fldCharType="end"/>
          </w:r>
        </w:p>
        <w:p w14:paraId="6E5331F8">
          <w:pPr>
            <w:pStyle w:val="13"/>
            <w:tabs>
              <w:tab w:val="right" w:leader="dot" w:pos="9070"/>
            </w:tabs>
          </w:pPr>
          <w:r>
            <w:rPr>
              <w:bCs/>
              <w:snapToGrid w:val="0"/>
              <w:kern w:val="0"/>
              <w:lang w:val="zh-CN"/>
            </w:rPr>
            <w:fldChar w:fldCharType="begin"/>
          </w:r>
          <w:r>
            <w:rPr>
              <w:bCs/>
              <w:snapToGrid w:val="0"/>
              <w:kern w:val="0"/>
              <w:lang w:val="zh-CN"/>
            </w:rPr>
            <w:instrText xml:space="preserve"> HYPERLINK \l _Toc27068 </w:instrText>
          </w:r>
          <w:r>
            <w:rPr>
              <w:bCs/>
              <w:snapToGrid w:val="0"/>
              <w:kern w:val="0"/>
              <w:lang w:val="zh-CN"/>
            </w:rPr>
            <w:fldChar w:fldCharType="separate"/>
          </w:r>
          <w:r>
            <w:rPr>
              <w:rFonts w:hint="default" w:ascii="Times New Roman" w:hAnsi="Times New Roman" w:cs="Times New Roman"/>
              <w:kern w:val="0"/>
              <w:szCs w:val="24"/>
            </w:rPr>
            <w:t xml:space="preserve">5.2.2 </w:t>
          </w:r>
          <w:r>
            <w:rPr>
              <w:bCs/>
              <w:kern w:val="0"/>
            </w:rPr>
            <w:t>建构筑物拆除与迁改</w:t>
          </w:r>
          <w:r>
            <w:tab/>
          </w:r>
          <w:r>
            <w:fldChar w:fldCharType="begin"/>
          </w:r>
          <w:r>
            <w:instrText xml:space="preserve"> PAGEREF _Toc27068 \h </w:instrText>
          </w:r>
          <w:r>
            <w:fldChar w:fldCharType="separate"/>
          </w:r>
          <w:r>
            <w:t>28</w:t>
          </w:r>
          <w:r>
            <w:fldChar w:fldCharType="end"/>
          </w:r>
          <w:r>
            <w:rPr>
              <w:bCs/>
              <w:snapToGrid w:val="0"/>
              <w:kern w:val="0"/>
              <w:lang w:val="zh-CN"/>
            </w:rPr>
            <w:fldChar w:fldCharType="end"/>
          </w:r>
        </w:p>
        <w:p w14:paraId="66ACEE5D">
          <w:pPr>
            <w:pStyle w:val="13"/>
            <w:tabs>
              <w:tab w:val="right" w:leader="dot" w:pos="9070"/>
            </w:tabs>
          </w:pPr>
          <w:r>
            <w:rPr>
              <w:bCs/>
              <w:snapToGrid w:val="0"/>
              <w:kern w:val="0"/>
              <w:lang w:val="zh-CN"/>
            </w:rPr>
            <w:fldChar w:fldCharType="begin"/>
          </w:r>
          <w:r>
            <w:rPr>
              <w:bCs/>
              <w:snapToGrid w:val="0"/>
              <w:kern w:val="0"/>
              <w:lang w:val="zh-CN"/>
            </w:rPr>
            <w:instrText xml:space="preserve"> HYPERLINK \l _Toc10779 </w:instrText>
          </w:r>
          <w:r>
            <w:rPr>
              <w:bCs/>
              <w:snapToGrid w:val="0"/>
              <w:kern w:val="0"/>
              <w:lang w:val="zh-CN"/>
            </w:rPr>
            <w:fldChar w:fldCharType="separate"/>
          </w:r>
          <w:r>
            <w:rPr>
              <w:rFonts w:hint="default" w:ascii="Times New Roman" w:hAnsi="Times New Roman" w:cs="Times New Roman"/>
              <w:kern w:val="0"/>
              <w:szCs w:val="24"/>
            </w:rPr>
            <w:t xml:space="preserve">5.2.3 </w:t>
          </w:r>
          <w:r>
            <w:rPr>
              <w:bCs/>
              <w:kern w:val="0"/>
            </w:rPr>
            <w:t>场地平整</w:t>
          </w:r>
          <w:r>
            <w:tab/>
          </w:r>
          <w:r>
            <w:fldChar w:fldCharType="begin"/>
          </w:r>
          <w:r>
            <w:instrText xml:space="preserve"> PAGEREF _Toc10779 \h </w:instrText>
          </w:r>
          <w:r>
            <w:fldChar w:fldCharType="separate"/>
          </w:r>
          <w:r>
            <w:t>28</w:t>
          </w:r>
          <w:r>
            <w:fldChar w:fldCharType="end"/>
          </w:r>
          <w:r>
            <w:rPr>
              <w:bCs/>
              <w:snapToGrid w:val="0"/>
              <w:kern w:val="0"/>
              <w:lang w:val="zh-CN"/>
            </w:rPr>
            <w:fldChar w:fldCharType="end"/>
          </w:r>
        </w:p>
        <w:p w14:paraId="7087B5AA">
          <w:pPr>
            <w:pStyle w:val="13"/>
            <w:tabs>
              <w:tab w:val="right" w:leader="dot" w:pos="9070"/>
            </w:tabs>
          </w:pPr>
          <w:r>
            <w:rPr>
              <w:bCs/>
              <w:snapToGrid w:val="0"/>
              <w:kern w:val="0"/>
              <w:lang w:val="zh-CN"/>
            </w:rPr>
            <w:fldChar w:fldCharType="begin"/>
          </w:r>
          <w:r>
            <w:rPr>
              <w:bCs/>
              <w:snapToGrid w:val="0"/>
              <w:kern w:val="0"/>
              <w:lang w:val="zh-CN"/>
            </w:rPr>
            <w:instrText xml:space="preserve"> HYPERLINK \l _Toc11499 </w:instrText>
          </w:r>
          <w:r>
            <w:rPr>
              <w:bCs/>
              <w:snapToGrid w:val="0"/>
              <w:kern w:val="0"/>
              <w:lang w:val="zh-CN"/>
            </w:rPr>
            <w:fldChar w:fldCharType="separate"/>
          </w:r>
          <w:r>
            <w:rPr>
              <w:rFonts w:hint="default" w:ascii="Times New Roman" w:hAnsi="Times New Roman" w:cs="Times New Roman"/>
              <w:kern w:val="0"/>
              <w:szCs w:val="24"/>
            </w:rPr>
            <w:t xml:space="preserve">5.2.4 </w:t>
          </w:r>
          <w:r>
            <w:rPr>
              <w:kern w:val="0"/>
            </w:rPr>
            <w:t>施工道路</w:t>
          </w:r>
          <w:r>
            <w:tab/>
          </w:r>
          <w:r>
            <w:fldChar w:fldCharType="begin"/>
          </w:r>
          <w:r>
            <w:instrText xml:space="preserve"> PAGEREF _Toc11499 \h </w:instrText>
          </w:r>
          <w:r>
            <w:fldChar w:fldCharType="separate"/>
          </w:r>
          <w:r>
            <w:t>28</w:t>
          </w:r>
          <w:r>
            <w:fldChar w:fldCharType="end"/>
          </w:r>
          <w:r>
            <w:rPr>
              <w:bCs/>
              <w:snapToGrid w:val="0"/>
              <w:kern w:val="0"/>
              <w:lang w:val="zh-CN"/>
            </w:rPr>
            <w:fldChar w:fldCharType="end"/>
          </w:r>
        </w:p>
        <w:p w14:paraId="03652D76">
          <w:pPr>
            <w:pStyle w:val="13"/>
            <w:tabs>
              <w:tab w:val="right" w:leader="dot" w:pos="9070"/>
            </w:tabs>
          </w:pPr>
          <w:r>
            <w:rPr>
              <w:bCs/>
              <w:snapToGrid w:val="0"/>
              <w:kern w:val="0"/>
              <w:lang w:val="zh-CN"/>
            </w:rPr>
            <w:fldChar w:fldCharType="begin"/>
          </w:r>
          <w:r>
            <w:rPr>
              <w:bCs/>
              <w:snapToGrid w:val="0"/>
              <w:kern w:val="0"/>
              <w:lang w:val="zh-CN"/>
            </w:rPr>
            <w:instrText xml:space="preserve"> HYPERLINK \l _Toc14949 </w:instrText>
          </w:r>
          <w:r>
            <w:rPr>
              <w:bCs/>
              <w:snapToGrid w:val="0"/>
              <w:kern w:val="0"/>
              <w:lang w:val="zh-CN"/>
            </w:rPr>
            <w:fldChar w:fldCharType="separate"/>
          </w:r>
          <w:r>
            <w:rPr>
              <w:rFonts w:hint="default" w:ascii="Times New Roman" w:hAnsi="Times New Roman" w:cs="Times New Roman"/>
              <w:kern w:val="0"/>
              <w:szCs w:val="24"/>
            </w:rPr>
            <w:t xml:space="preserve">5.2.5 </w:t>
          </w:r>
          <w:r>
            <w:rPr>
              <w:kern w:val="0"/>
            </w:rPr>
            <w:t>施工用水</w:t>
          </w:r>
          <w:r>
            <w:tab/>
          </w:r>
          <w:r>
            <w:fldChar w:fldCharType="begin"/>
          </w:r>
          <w:r>
            <w:instrText xml:space="preserve"> PAGEREF _Toc14949 \h </w:instrText>
          </w:r>
          <w:r>
            <w:fldChar w:fldCharType="separate"/>
          </w:r>
          <w:r>
            <w:t>28</w:t>
          </w:r>
          <w:r>
            <w:fldChar w:fldCharType="end"/>
          </w:r>
          <w:r>
            <w:rPr>
              <w:bCs/>
              <w:snapToGrid w:val="0"/>
              <w:kern w:val="0"/>
              <w:lang w:val="zh-CN"/>
            </w:rPr>
            <w:fldChar w:fldCharType="end"/>
          </w:r>
        </w:p>
        <w:p w14:paraId="5A3B7671">
          <w:pPr>
            <w:pStyle w:val="13"/>
            <w:tabs>
              <w:tab w:val="right" w:leader="dot" w:pos="9070"/>
            </w:tabs>
          </w:pPr>
          <w:r>
            <w:rPr>
              <w:bCs/>
              <w:snapToGrid w:val="0"/>
              <w:kern w:val="0"/>
              <w:lang w:val="zh-CN"/>
            </w:rPr>
            <w:fldChar w:fldCharType="begin"/>
          </w:r>
          <w:r>
            <w:rPr>
              <w:bCs/>
              <w:snapToGrid w:val="0"/>
              <w:kern w:val="0"/>
              <w:lang w:val="zh-CN"/>
            </w:rPr>
            <w:instrText xml:space="preserve"> HYPERLINK \l _Toc27434 </w:instrText>
          </w:r>
          <w:r>
            <w:rPr>
              <w:bCs/>
              <w:snapToGrid w:val="0"/>
              <w:kern w:val="0"/>
              <w:lang w:val="zh-CN"/>
            </w:rPr>
            <w:fldChar w:fldCharType="separate"/>
          </w:r>
          <w:r>
            <w:rPr>
              <w:rFonts w:hint="default" w:ascii="Times New Roman" w:hAnsi="Times New Roman" w:cs="Times New Roman"/>
              <w:kern w:val="0"/>
              <w:szCs w:val="24"/>
            </w:rPr>
            <w:t xml:space="preserve">5.2.6 </w:t>
          </w:r>
          <w:r>
            <w:rPr>
              <w:kern w:val="0"/>
            </w:rPr>
            <w:t>施工用电</w:t>
          </w:r>
          <w:r>
            <w:tab/>
          </w:r>
          <w:r>
            <w:fldChar w:fldCharType="begin"/>
          </w:r>
          <w:r>
            <w:instrText xml:space="preserve"> PAGEREF _Toc27434 \h </w:instrText>
          </w:r>
          <w:r>
            <w:fldChar w:fldCharType="separate"/>
          </w:r>
          <w:r>
            <w:t>29</w:t>
          </w:r>
          <w:r>
            <w:fldChar w:fldCharType="end"/>
          </w:r>
          <w:r>
            <w:rPr>
              <w:bCs/>
              <w:snapToGrid w:val="0"/>
              <w:kern w:val="0"/>
              <w:lang w:val="zh-CN"/>
            </w:rPr>
            <w:fldChar w:fldCharType="end"/>
          </w:r>
        </w:p>
        <w:p w14:paraId="4A0693C4">
          <w:pPr>
            <w:pStyle w:val="13"/>
            <w:tabs>
              <w:tab w:val="right" w:leader="dot" w:pos="9070"/>
            </w:tabs>
          </w:pPr>
          <w:r>
            <w:rPr>
              <w:bCs/>
              <w:snapToGrid w:val="0"/>
              <w:kern w:val="0"/>
              <w:lang w:val="zh-CN"/>
            </w:rPr>
            <w:fldChar w:fldCharType="begin"/>
          </w:r>
          <w:r>
            <w:rPr>
              <w:bCs/>
              <w:snapToGrid w:val="0"/>
              <w:kern w:val="0"/>
              <w:lang w:val="zh-CN"/>
            </w:rPr>
            <w:instrText xml:space="preserve"> HYPERLINK \l _Toc15476 </w:instrText>
          </w:r>
          <w:r>
            <w:rPr>
              <w:bCs/>
              <w:snapToGrid w:val="0"/>
              <w:kern w:val="0"/>
              <w:lang w:val="zh-CN"/>
            </w:rPr>
            <w:fldChar w:fldCharType="separate"/>
          </w:r>
          <w:r>
            <w:rPr>
              <w:rFonts w:hint="default" w:ascii="Times New Roman" w:hAnsi="Times New Roman" w:cs="Times New Roman"/>
              <w:szCs w:val="24"/>
            </w:rPr>
            <w:t xml:space="preserve">5.2.7 </w:t>
          </w:r>
          <w:r>
            <w:rPr>
              <w:kern w:val="0"/>
            </w:rPr>
            <w:t>施工注意事项</w:t>
          </w:r>
          <w:r>
            <w:tab/>
          </w:r>
          <w:r>
            <w:fldChar w:fldCharType="begin"/>
          </w:r>
          <w:r>
            <w:instrText xml:space="preserve"> PAGEREF _Toc15476 \h </w:instrText>
          </w:r>
          <w:r>
            <w:fldChar w:fldCharType="separate"/>
          </w:r>
          <w:r>
            <w:t>42</w:t>
          </w:r>
          <w:r>
            <w:fldChar w:fldCharType="end"/>
          </w:r>
          <w:r>
            <w:rPr>
              <w:bCs/>
              <w:snapToGrid w:val="0"/>
              <w:kern w:val="0"/>
              <w:lang w:val="zh-CN"/>
            </w:rPr>
            <w:fldChar w:fldCharType="end"/>
          </w:r>
        </w:p>
        <w:p w14:paraId="0E52A413">
          <w:pPr>
            <w:pStyle w:val="23"/>
            <w:tabs>
              <w:tab w:val="right" w:leader="dot" w:pos="9070"/>
              <w:tab w:val="clear" w:pos="8664"/>
            </w:tabs>
          </w:pPr>
          <w:r>
            <w:rPr>
              <w:bCs/>
              <w:snapToGrid w:val="0"/>
              <w:kern w:val="0"/>
              <w:lang w:val="zh-CN"/>
            </w:rPr>
            <w:fldChar w:fldCharType="begin"/>
          </w:r>
          <w:r>
            <w:rPr>
              <w:bCs/>
              <w:snapToGrid w:val="0"/>
              <w:kern w:val="0"/>
              <w:lang w:val="zh-CN"/>
            </w:rPr>
            <w:instrText xml:space="preserve"> HYPERLINK \l _Toc4150 </w:instrText>
          </w:r>
          <w:r>
            <w:rPr>
              <w:bCs/>
              <w:snapToGrid w:val="0"/>
              <w:kern w:val="0"/>
              <w:lang w:val="zh-CN"/>
            </w:rPr>
            <w:fldChar w:fldCharType="separate"/>
          </w:r>
          <w:r>
            <w:rPr>
              <w:rFonts w:hint="eastAsia"/>
              <w:szCs w:val="24"/>
            </w:rPr>
            <w:t xml:space="preserve">5.3 </w:t>
          </w:r>
          <w:r>
            <w:t>工期要求</w:t>
          </w:r>
          <w:r>
            <w:tab/>
          </w:r>
          <w:r>
            <w:fldChar w:fldCharType="begin"/>
          </w:r>
          <w:r>
            <w:instrText xml:space="preserve"> PAGEREF _Toc4150 \h </w:instrText>
          </w:r>
          <w:r>
            <w:fldChar w:fldCharType="separate"/>
          </w:r>
          <w:r>
            <w:t>42</w:t>
          </w:r>
          <w:r>
            <w:fldChar w:fldCharType="end"/>
          </w:r>
          <w:r>
            <w:rPr>
              <w:bCs/>
              <w:snapToGrid w:val="0"/>
              <w:kern w:val="0"/>
              <w:lang w:val="zh-CN"/>
            </w:rPr>
            <w:fldChar w:fldCharType="end"/>
          </w:r>
        </w:p>
        <w:p w14:paraId="652F38F1">
          <w:pPr>
            <w:tabs>
              <w:tab w:val="left" w:pos="567"/>
              <w:tab w:val="right" w:leader="dot" w:pos="9120"/>
            </w:tabs>
            <w:adjustRightInd w:val="0"/>
            <w:spacing w:line="360" w:lineRule="auto"/>
            <w:ind w:firstLine="0" w:firstLineChars="0"/>
            <w:rPr>
              <w:snapToGrid w:val="0"/>
              <w:kern w:val="0"/>
            </w:rPr>
          </w:pPr>
          <w:r>
            <w:rPr>
              <w:bCs/>
              <w:snapToGrid w:val="0"/>
              <w:kern w:val="0"/>
              <w:lang w:val="zh-CN"/>
            </w:rPr>
            <w:fldChar w:fldCharType="end"/>
          </w:r>
        </w:p>
      </w:sdtContent>
    </w:sdt>
    <w:p w14:paraId="634B4975">
      <w:pPr>
        <w:tabs>
          <w:tab w:val="left" w:pos="567"/>
          <w:tab w:val="right" w:leader="dot" w:pos="9120"/>
        </w:tabs>
        <w:spacing w:line="480" w:lineRule="auto"/>
        <w:ind w:firstLine="0" w:firstLineChars="0"/>
        <w:jc w:val="center"/>
        <w:rPr>
          <w:sz w:val="32"/>
          <w:szCs w:val="36"/>
        </w:rPr>
      </w:pPr>
    </w:p>
    <w:p w14:paraId="03F8885A">
      <w:pPr>
        <w:spacing w:line="480" w:lineRule="auto"/>
        <w:ind w:firstLine="0" w:firstLineChars="0"/>
        <w:jc w:val="center"/>
        <w:rPr>
          <w:sz w:val="32"/>
          <w:szCs w:val="36"/>
        </w:rPr>
      </w:pPr>
    </w:p>
    <w:p w14:paraId="6EEFBB1B">
      <w:pPr>
        <w:spacing w:line="480" w:lineRule="auto"/>
        <w:ind w:firstLine="0" w:firstLineChars="0"/>
        <w:jc w:val="center"/>
        <w:rPr>
          <w:sz w:val="32"/>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1021" w:footer="1021" w:gutter="0"/>
          <w:pgNumType w:start="1"/>
          <w:cols w:space="720" w:num="1"/>
          <w:docGrid w:type="linesAndChars" w:linePitch="312" w:charSpace="0"/>
        </w:sectPr>
      </w:pPr>
    </w:p>
    <w:bookmarkEnd w:id="0"/>
    <w:p w14:paraId="58DD6591">
      <w:pPr>
        <w:adjustRightInd w:val="0"/>
        <w:spacing w:line="360" w:lineRule="auto"/>
        <w:ind w:firstLine="0" w:firstLineChars="0"/>
        <w:jc w:val="center"/>
        <w:outlineLvl w:val="0"/>
        <w:rPr>
          <w:b/>
          <w:sz w:val="32"/>
          <w:szCs w:val="32"/>
        </w:rPr>
      </w:pPr>
      <w:bookmarkStart w:id="1" w:name="_Toc190958850"/>
      <w:bookmarkStart w:id="2" w:name="_Toc192"/>
      <w:bookmarkStart w:id="3" w:name="_Toc11636"/>
      <w:bookmarkStart w:id="4" w:name="_Toc22636"/>
      <w:bookmarkStart w:id="5" w:name="_Toc21480"/>
      <w:bookmarkStart w:id="6" w:name="_Toc21435"/>
      <w:bookmarkStart w:id="7" w:name="_Toc393441007"/>
      <w:bookmarkStart w:id="8" w:name="_Toc1695"/>
      <w:r>
        <w:rPr>
          <w:b/>
          <w:sz w:val="32"/>
          <w:szCs w:val="32"/>
        </w:rPr>
        <w:t>第1章   一般规定</w:t>
      </w:r>
      <w:bookmarkEnd w:id="1"/>
      <w:bookmarkEnd w:id="2"/>
      <w:bookmarkEnd w:id="3"/>
      <w:bookmarkEnd w:id="4"/>
      <w:bookmarkEnd w:id="5"/>
      <w:bookmarkEnd w:id="6"/>
    </w:p>
    <w:p w14:paraId="4097818F">
      <w:pPr>
        <w:numPr>
          <w:ilvl w:val="1"/>
          <w:numId w:val="1"/>
        </w:numPr>
        <w:adjustRightInd w:val="0"/>
        <w:spacing w:line="360" w:lineRule="auto"/>
        <w:ind w:left="0" w:firstLine="480"/>
        <w:outlineLvl w:val="1"/>
      </w:pPr>
      <w:bookmarkStart w:id="9" w:name="_Toc12616"/>
      <w:bookmarkStart w:id="10" w:name="_Toc11681"/>
      <w:bookmarkStart w:id="11" w:name="_Toc190958851"/>
      <w:bookmarkStart w:id="12" w:name="_Toc9998"/>
      <w:bookmarkStart w:id="13" w:name="_Toc17781"/>
      <w:bookmarkStart w:id="14" w:name="_Toc31564"/>
      <w:r>
        <w:t>工程说明</w:t>
      </w:r>
      <w:bookmarkEnd w:id="7"/>
      <w:bookmarkEnd w:id="8"/>
      <w:bookmarkEnd w:id="9"/>
      <w:bookmarkEnd w:id="10"/>
      <w:bookmarkEnd w:id="11"/>
      <w:bookmarkEnd w:id="12"/>
      <w:bookmarkEnd w:id="13"/>
      <w:bookmarkEnd w:id="14"/>
      <w:bookmarkStart w:id="15" w:name="_Toc15410"/>
    </w:p>
    <w:p w14:paraId="0BE181A3">
      <w:pPr>
        <w:numPr>
          <w:ilvl w:val="2"/>
          <w:numId w:val="2"/>
        </w:numPr>
        <w:adjustRightInd w:val="0"/>
        <w:spacing w:line="360" w:lineRule="auto"/>
        <w:ind w:left="0" w:firstLine="480"/>
        <w:outlineLvl w:val="2"/>
        <w:rPr>
          <w:b/>
        </w:rPr>
      </w:pPr>
      <w:bookmarkStart w:id="16" w:name="_Toc13286"/>
      <w:bookmarkStart w:id="17" w:name="_Toc7009"/>
      <w:bookmarkStart w:id="18" w:name="_Toc28407"/>
      <w:bookmarkStart w:id="19" w:name="_Toc22887"/>
      <w:bookmarkStart w:id="20" w:name="_Toc190958852"/>
      <w:bookmarkStart w:id="21" w:name="_Toc6568"/>
      <w:r>
        <w:t>工程概况</w:t>
      </w:r>
      <w:bookmarkEnd w:id="15"/>
      <w:bookmarkEnd w:id="16"/>
      <w:bookmarkEnd w:id="17"/>
      <w:bookmarkEnd w:id="18"/>
      <w:bookmarkEnd w:id="19"/>
      <w:bookmarkEnd w:id="20"/>
      <w:bookmarkEnd w:id="21"/>
    </w:p>
    <w:p w14:paraId="401318A5">
      <w:pPr>
        <w:adjustRightInd w:val="0"/>
        <w:spacing w:line="360" w:lineRule="auto"/>
        <w:ind w:firstLine="480"/>
        <w:rPr>
          <w:color w:val="000000"/>
        </w:rPr>
      </w:pPr>
      <w:bookmarkStart w:id="22" w:name="_Toc13487"/>
      <w:r>
        <w:rPr>
          <w:color w:val="000000"/>
        </w:rPr>
        <w:t>舟山市普陀2#海上风电场项目场区位于舟山市普陀区六横岛东南侧海域，场址中心离岸距离约42km，规划海域面积约49km</w:t>
      </w:r>
      <w:r>
        <w:rPr>
          <w:color w:val="000000"/>
          <w:vertAlign w:val="superscript"/>
        </w:rPr>
        <w:t>2</w:t>
      </w:r>
      <w:r>
        <w:rPr>
          <w:color w:val="000000"/>
        </w:rPr>
        <w:t>，规划总装机容量400MW。项目陆上集控中心位于舟山市普陀区六横镇苍洞村，总用地面积为 32987m</w:t>
      </w:r>
      <w:r>
        <w:rPr>
          <w:color w:val="000000"/>
          <w:vertAlign w:val="superscript"/>
        </w:rPr>
        <w:t>2</w:t>
      </w:r>
      <w:r>
        <w:rPr>
          <w:color w:val="000000"/>
        </w:rPr>
        <w:t>，土地性质为坑塘水面，未占用林地，不涉及生态保护红线、永久基本农田保护区。厂址地区不存在保护性文物，不压覆矿。</w:t>
      </w:r>
    </w:p>
    <w:p w14:paraId="5DAFA1C0">
      <w:pPr>
        <w:adjustRightInd w:val="0"/>
        <w:spacing w:line="360" w:lineRule="auto"/>
        <w:ind w:firstLine="480"/>
        <w:rPr>
          <w:color w:val="000000"/>
        </w:rPr>
      </w:pPr>
      <w:r>
        <w:rPr>
          <w:color w:val="000000"/>
        </w:rPr>
        <w:t>站区拟采用架空平台方案，平台标高5.50m。陆上集控中心内布置GIS楼、集控楼、生产楼、生活辅助综合楼、消防泵房等建（构）筑物。</w:t>
      </w:r>
    </w:p>
    <w:p w14:paraId="58520303">
      <w:pPr>
        <w:numPr>
          <w:ilvl w:val="2"/>
          <w:numId w:val="2"/>
        </w:numPr>
        <w:adjustRightInd w:val="0"/>
        <w:spacing w:line="360" w:lineRule="auto"/>
        <w:ind w:left="0" w:firstLine="480"/>
        <w:outlineLvl w:val="2"/>
      </w:pPr>
      <w:bookmarkStart w:id="23" w:name="_Toc30049"/>
      <w:bookmarkStart w:id="24" w:name="_Toc8328"/>
      <w:bookmarkStart w:id="25" w:name="_Toc3192"/>
      <w:bookmarkStart w:id="26" w:name="_Toc4834"/>
      <w:bookmarkStart w:id="27" w:name="_Toc30754"/>
      <w:bookmarkStart w:id="28" w:name="_Toc190958853"/>
      <w:r>
        <w:t>工程地质资料</w:t>
      </w:r>
      <w:bookmarkEnd w:id="22"/>
      <w:bookmarkEnd w:id="23"/>
      <w:bookmarkEnd w:id="24"/>
      <w:bookmarkEnd w:id="25"/>
      <w:bookmarkEnd w:id="26"/>
      <w:bookmarkEnd w:id="27"/>
      <w:bookmarkEnd w:id="28"/>
    </w:p>
    <w:p w14:paraId="567345CD">
      <w:pPr>
        <w:adjustRightInd w:val="0"/>
        <w:spacing w:line="360" w:lineRule="auto"/>
        <w:ind w:firstLine="480"/>
      </w:pPr>
      <w:r>
        <w:t>根据本次勘探及前期</w:t>
      </w:r>
      <w:r>
        <w:rPr>
          <w:color w:val="000000"/>
        </w:rPr>
        <w:t>勘测</w:t>
      </w:r>
      <w:r>
        <w:t>资料，场区钻探揭露岩土层依据《浙江省工程建设岩土工程勘察规范》（DB33/T1065-2019）附录F自上而下依次划分为</w:t>
      </w:r>
      <w:r>
        <w:rPr/>
        <w:sym w:font="Wingdings" w:char="F080"/>
      </w:r>
      <w:r>
        <w:t>层素填土，</w:t>
      </w:r>
      <w:r>
        <w:rPr>
          <w:rFonts w:hint="eastAsia" w:ascii="宋体" w:hAnsi="宋体" w:cs="宋体"/>
        </w:rPr>
        <w:t>②</w:t>
      </w:r>
      <w:r>
        <w:t>层淤泥质粉质黏土、</w:t>
      </w:r>
      <w:r>
        <w:rPr>
          <w:rFonts w:hint="eastAsia" w:ascii="宋体" w:hAnsi="宋体" w:cs="宋体"/>
        </w:rPr>
        <w:t>③</w:t>
      </w:r>
      <w:r>
        <w:t>层砾砂、</w:t>
      </w:r>
      <w:r>
        <w:rPr>
          <w:rFonts w:hint="eastAsia" w:ascii="宋体" w:hAnsi="宋体" w:cs="宋体"/>
        </w:rPr>
        <w:t>④</w:t>
      </w:r>
      <w:r>
        <w:t>层粉质黏土、</w:t>
      </w:r>
      <w:r>
        <w:rPr>
          <w:rFonts w:hint="eastAsia" w:ascii="宋体" w:hAnsi="宋体" w:cs="宋体"/>
        </w:rPr>
        <w:t>⑤</w:t>
      </w:r>
      <w:r>
        <w:t>层粉质黏土、</w:t>
      </w:r>
      <w:r>
        <w:rPr>
          <w:rFonts w:hint="eastAsia" w:ascii="宋体" w:hAnsi="宋体" w:cs="宋体"/>
        </w:rPr>
        <w:t>⑥</w:t>
      </w:r>
      <w:r>
        <w:t>层粉质黏土、</w:t>
      </w:r>
      <w:r>
        <w:rPr>
          <w:rFonts w:hint="eastAsia" w:ascii="宋体" w:hAnsi="宋体" w:cs="宋体"/>
        </w:rPr>
        <w:t>⑦</w:t>
      </w:r>
      <w:r>
        <w:t>层粉质黏土混碎石、</w:t>
      </w:r>
      <w:r>
        <w:rPr>
          <w:rFonts w:hint="eastAsia" w:ascii="宋体" w:hAnsi="宋体" w:cs="宋体"/>
        </w:rPr>
        <w:t>⑧</w:t>
      </w:r>
      <w:r>
        <w:t>1全风化凝灰岩、</w:t>
      </w:r>
      <w:r>
        <w:rPr>
          <w:rFonts w:hint="eastAsia" w:ascii="宋体" w:hAnsi="宋体" w:cs="宋体"/>
        </w:rPr>
        <w:t>⑧</w:t>
      </w:r>
      <w:r>
        <w:t>2层强风化凝灰岩、</w:t>
      </w:r>
      <w:r>
        <w:rPr>
          <w:rFonts w:hint="eastAsia" w:ascii="宋体" w:hAnsi="宋体" w:cs="宋体"/>
        </w:rPr>
        <w:t>⑧</w:t>
      </w:r>
      <w:r>
        <w:t>3层中风化凝灰岩。其中上部</w:t>
      </w:r>
      <w:r>
        <w:rPr>
          <w:rFonts w:hint="eastAsia" w:ascii="宋体" w:hAnsi="宋体" w:cs="宋体"/>
        </w:rPr>
        <w:t>①</w:t>
      </w:r>
      <w:r>
        <w:t>~</w:t>
      </w:r>
      <w:r>
        <w:rPr>
          <w:rFonts w:hint="eastAsia" w:ascii="宋体" w:hAnsi="宋体" w:cs="宋体"/>
        </w:rPr>
        <w:t>③</w:t>
      </w:r>
      <w:r>
        <w:t>层为第四系全新统（Q4）冲海相素填土、淤泥质粉质黏土、粉质黏土，下部为晚更新世（Q3）陆相、滨海相沉积物；下伏基岩（</w:t>
      </w:r>
      <w:r>
        <w:rPr>
          <w:rFonts w:hint="eastAsia" w:ascii="宋体" w:hAnsi="宋体" w:cs="宋体"/>
        </w:rPr>
        <w:t>⑧</w:t>
      </w:r>
      <w:r>
        <w:t>2层强风化凝灰岩、</w:t>
      </w:r>
      <w:r>
        <w:rPr>
          <w:rFonts w:hint="eastAsia" w:ascii="宋体" w:hAnsi="宋体" w:cs="宋体"/>
        </w:rPr>
        <w:t>⑧</w:t>
      </w:r>
      <w:r>
        <w:t>3层中风化凝灰岩）为侏罗系上统（J_3^1）凝灰岩，现分述如下：</w:t>
      </w:r>
    </w:p>
    <w:p w14:paraId="14E2F5E3">
      <w:pPr>
        <w:adjustRightInd w:val="0"/>
        <w:spacing w:line="360" w:lineRule="auto"/>
        <w:ind w:firstLine="480"/>
      </w:pPr>
      <w:r>
        <w:rPr/>
        <w:sym w:font="Wingdings" w:char="F080"/>
      </w:r>
      <w:r>
        <w:t>层素填土：杂色，稍湿，松散，以粘性土为主，碎石、块石、粘性土及建筑垃圾堆填而成，碎石大小一般2-20cm，最大粒经大于40cm，土质不均匀。该层仅分布于鱼塘四周道路或田埂处。</w:t>
      </w:r>
    </w:p>
    <w:p w14:paraId="2FBFDADC">
      <w:pPr>
        <w:adjustRightInd w:val="0"/>
        <w:spacing w:line="360" w:lineRule="auto"/>
        <w:ind w:firstLine="480"/>
      </w:pPr>
      <w:r>
        <w:rPr>
          <w:rFonts w:hint="eastAsia" w:ascii="宋体" w:hAnsi="宋体" w:cs="宋体"/>
        </w:rPr>
        <w:t>②</w:t>
      </w:r>
      <w:r>
        <w:t>层淤泥质黏土:灰色，饱和，流塑，干强度中等偏高，含少量粉粒及有机质，局部混少量贝壳碎屑，局部为淤泥，岩土工程性质较差，具高压缩性。该层顶标高-1.59m，层底标高-5.39m，层厚3.80m。</w:t>
      </w:r>
    </w:p>
    <w:p w14:paraId="030066B5">
      <w:pPr>
        <w:adjustRightInd w:val="0"/>
        <w:spacing w:line="360" w:lineRule="auto"/>
        <w:ind w:firstLine="480"/>
      </w:pPr>
      <w:r>
        <w:rPr>
          <w:rFonts w:hint="eastAsia" w:ascii="宋体" w:hAnsi="宋体" w:cs="宋体"/>
        </w:rPr>
        <w:t>③</w:t>
      </w:r>
      <w:r>
        <w:t>层砾砂：灰色，饱和，稍密为主，砾石粒径大于2.5mm、含量20％左右，含有砂及灰色粘性土，冲洪积成因。该层顶标高-5.39m，层底标高-7.49m，层厚2.10m。</w:t>
      </w:r>
    </w:p>
    <w:p w14:paraId="10B0CFA5">
      <w:pPr>
        <w:adjustRightInd w:val="0"/>
        <w:spacing w:line="360" w:lineRule="auto"/>
        <w:ind w:firstLine="480"/>
      </w:pPr>
      <w:r>
        <w:rPr>
          <w:rFonts w:hint="eastAsia" w:ascii="宋体" w:hAnsi="宋体" w:cs="宋体"/>
        </w:rPr>
        <w:t>④</w:t>
      </w:r>
      <w:r>
        <w:t>层粉质黏土：暗绿色，湿，可塑为主，干强度中等，韧性中等，含少量粉粒。该层顶标高-7.49m，层底标高-12.19m，层厚4.70m。</w:t>
      </w:r>
    </w:p>
    <w:p w14:paraId="555C36A8">
      <w:pPr>
        <w:adjustRightInd w:val="0"/>
        <w:spacing w:line="360" w:lineRule="auto"/>
        <w:ind w:firstLine="480"/>
      </w:pPr>
      <w:r>
        <w:rPr>
          <w:rFonts w:hint="eastAsia" w:ascii="宋体" w:hAnsi="宋体" w:cs="宋体"/>
        </w:rPr>
        <w:t>⑤</w:t>
      </w:r>
      <w:r>
        <w:t>层粉质黏土:灰色，很湿～湿，软塑为主，干强度中等，韧性中等，含少量粉粒，混少量半腐植质。该层顶标高-12.19m，层底标高-14.99m，层厚2.80m。</w:t>
      </w:r>
    </w:p>
    <w:p w14:paraId="07EF5E6A">
      <w:pPr>
        <w:adjustRightInd w:val="0"/>
        <w:spacing w:line="360" w:lineRule="auto"/>
        <w:ind w:firstLine="480"/>
      </w:pPr>
      <w:r>
        <w:rPr>
          <w:rFonts w:hint="eastAsia" w:ascii="宋体" w:hAnsi="宋体" w:cs="宋体"/>
        </w:rPr>
        <w:t>⑥</w:t>
      </w:r>
      <w:r>
        <w:t>层粉质黏土：灰黄色，湿，可塑为主， 局部硬塑，干强度中等，韧性中等，切面稍有光泽，含少量铁锰质结核。该层顶标高-14.99m，层底标高-18.59m，层厚13.60m。</w:t>
      </w:r>
    </w:p>
    <w:p w14:paraId="148765CF">
      <w:pPr>
        <w:adjustRightInd w:val="0"/>
        <w:spacing w:line="360" w:lineRule="auto"/>
        <w:ind w:firstLine="480"/>
      </w:pPr>
      <w:r>
        <w:rPr>
          <w:rFonts w:hint="eastAsia" w:ascii="宋体" w:hAnsi="宋体" w:cs="宋体"/>
        </w:rPr>
        <w:t>⑦</w:t>
      </w:r>
      <w:r>
        <w:t>层粉质黏土混碎石：灰黄色，湿～稍湿，可塑为主，混10～30％不等的碎石（碎石粒径2～5cm为主，主要成分为强～中等风化凝灰岩），局部以混砂砾为主，冲洪积成因。该层顶标高-0.85~-18.59m，层底标高-45.49~-16.95m，层厚16.10~16.90m。</w:t>
      </w:r>
    </w:p>
    <w:p w14:paraId="2D9D35DD">
      <w:pPr>
        <w:adjustRightInd w:val="0"/>
        <w:spacing w:line="360" w:lineRule="auto"/>
        <w:ind w:firstLine="480"/>
      </w:pPr>
      <w:r>
        <w:rPr>
          <w:rFonts w:hint="eastAsia" w:ascii="宋体" w:hAnsi="宋体" w:cs="宋体"/>
        </w:rPr>
        <w:t>⑧</w:t>
      </w:r>
      <w:r>
        <w:t>1全风化凝灰岩：灰黄色，似土状，刀可切，组织结构基本已破坏，散体状结构。该层顶标高-45.49~-16.95m，层底标高-49.39~-17.85m，层厚0.90~3.90m。</w:t>
      </w:r>
    </w:p>
    <w:p w14:paraId="01310A16">
      <w:pPr>
        <w:adjustRightInd w:val="0"/>
        <w:spacing w:line="360" w:lineRule="auto"/>
        <w:ind w:firstLine="480"/>
      </w:pPr>
      <w:r>
        <w:rPr>
          <w:rFonts w:hint="eastAsia" w:ascii="宋体" w:hAnsi="宋体" w:cs="宋体"/>
        </w:rPr>
        <w:t>⑧</w:t>
      </w:r>
      <w:r>
        <w:t>2强风化凝灰岩：灰黄色，岩芯碎块、短柱状，裂面见黑色、褐黄色铁猛质浸染。该层顶标高-49.39~-17.85m，层底标高-50.79~-19.45m，层厚1.40~1.90m。</w:t>
      </w:r>
    </w:p>
    <w:p w14:paraId="79C51274">
      <w:pPr>
        <w:adjustRightInd w:val="0"/>
        <w:spacing w:line="360" w:lineRule="auto"/>
        <w:ind w:firstLine="480"/>
      </w:pPr>
      <w:r>
        <w:rPr>
          <w:rFonts w:hint="eastAsia" w:ascii="宋体" w:hAnsi="宋体" w:cs="宋体"/>
        </w:rPr>
        <w:t>⑧</w:t>
      </w:r>
      <w:r>
        <w:t>3中风化凝灰岩：褐紫色，结构部分破坏，沿节理面有次生矿物，风化裂隙发育，节理裂隙以闭合为主，凝灰结构，岩石致密坚硬，采取岩芯呈柱块状。未钻穿，层顶标高-50.79~-19.45m。</w:t>
      </w:r>
    </w:p>
    <w:p w14:paraId="143E51BF">
      <w:pPr>
        <w:numPr>
          <w:ilvl w:val="2"/>
          <w:numId w:val="2"/>
        </w:numPr>
        <w:adjustRightInd w:val="0"/>
        <w:spacing w:line="360" w:lineRule="auto"/>
        <w:ind w:left="0" w:firstLine="480"/>
        <w:outlineLvl w:val="2"/>
      </w:pPr>
      <w:bookmarkStart w:id="29" w:name="_Toc10706"/>
      <w:bookmarkStart w:id="30" w:name="_Toc16392"/>
      <w:bookmarkStart w:id="31" w:name="_Toc17120"/>
      <w:bookmarkStart w:id="32" w:name="_Toc13564"/>
      <w:bookmarkStart w:id="33" w:name="_Toc5888"/>
      <w:bookmarkStart w:id="34" w:name="_Toc190958854"/>
      <w:bookmarkStart w:id="35" w:name="_Toc1490"/>
      <w:r>
        <w:t>施工条件</w:t>
      </w:r>
      <w:bookmarkEnd w:id="29"/>
      <w:bookmarkEnd w:id="30"/>
      <w:bookmarkEnd w:id="31"/>
      <w:bookmarkEnd w:id="32"/>
      <w:bookmarkEnd w:id="33"/>
      <w:bookmarkEnd w:id="34"/>
      <w:bookmarkEnd w:id="35"/>
    </w:p>
    <w:p w14:paraId="43E5C234">
      <w:pPr>
        <w:adjustRightInd w:val="0"/>
        <w:spacing w:line="360" w:lineRule="auto"/>
        <w:ind w:firstLine="480"/>
      </w:pPr>
      <w:r>
        <w:t>（1）交通条件</w:t>
      </w:r>
    </w:p>
    <w:p w14:paraId="7D7261D9">
      <w:pPr>
        <w:adjustRightInd w:val="0"/>
        <w:spacing w:line="360" w:lineRule="auto"/>
        <w:ind w:firstLine="480"/>
      </w:pPr>
      <w:bookmarkStart w:id="36" w:name="_Toc247705229"/>
      <w:bookmarkStart w:id="37" w:name="_Toc243705801"/>
      <w:r>
        <w:rPr>
          <w:color w:val="000000"/>
        </w:rPr>
        <w:t>项目厂址位于浙江省舟山市六横镇，距舟山本岛约40公里，距离宁波北仑区约16公里，距杭州市区约230公里。目前暂无跨海大桥连接，与宁波市、舟山市通过轮渡等海运方式连接。</w:t>
      </w:r>
    </w:p>
    <w:p w14:paraId="303D4767">
      <w:pPr>
        <w:adjustRightInd w:val="0"/>
        <w:spacing w:line="360" w:lineRule="auto"/>
        <w:ind w:firstLine="480"/>
        <w:rPr>
          <w:kern w:val="0"/>
        </w:rPr>
      </w:pPr>
      <w:r>
        <w:rPr>
          <w:lang w:bidi="zh-CN"/>
        </w:rPr>
        <w:t>场区附近道路</w:t>
      </w:r>
      <w:r>
        <w:t>为村道，宽度约4~5m，道路两边均为水塘。通过该段道路不到1km可接引至六横岛主干道。</w:t>
      </w:r>
    </w:p>
    <w:bookmarkEnd w:id="36"/>
    <w:bookmarkEnd w:id="37"/>
    <w:p w14:paraId="11663227">
      <w:pPr>
        <w:adjustRightInd w:val="0"/>
        <w:spacing w:line="360" w:lineRule="auto"/>
        <w:ind w:firstLine="480"/>
      </w:pPr>
      <w:r>
        <w:t>（2）施工用水、用电条件</w:t>
      </w:r>
    </w:p>
    <w:p w14:paraId="00E62CAD">
      <w:pPr>
        <w:adjustRightInd w:val="0"/>
        <w:spacing w:line="360" w:lineRule="auto"/>
        <w:ind w:firstLine="480"/>
      </w:pPr>
      <w:r>
        <w:t>施工用电：场区周边</w:t>
      </w:r>
      <w:r>
        <w:rPr>
          <w:lang w:bidi="zh-CN"/>
        </w:rPr>
        <w:t>道路</w:t>
      </w:r>
      <w:r>
        <w:t>有两处可用10kV电源。施工电缆由承包方自行负责，使用前需由</w:t>
      </w:r>
      <w:r>
        <w:rPr>
          <w:rFonts w:hint="eastAsia"/>
          <w:lang w:eastAsia="zh-CN"/>
        </w:rPr>
        <w:t>投标人</w:t>
      </w:r>
      <w:r>
        <w:t>安装电表计量付费。</w:t>
      </w:r>
    </w:p>
    <w:p w14:paraId="7D385ACF">
      <w:pPr>
        <w:adjustRightInd w:val="0"/>
        <w:spacing w:line="360" w:lineRule="auto"/>
        <w:ind w:firstLine="480"/>
      </w:pPr>
      <w:r>
        <w:t>施工用水：场区附近道路旁即有自来水管道，</w:t>
      </w:r>
      <w:r>
        <w:rPr>
          <w:rFonts w:hint="eastAsia"/>
          <w:lang w:eastAsia="zh-CN"/>
        </w:rPr>
        <w:t>招标人</w:t>
      </w:r>
      <w:r>
        <w:t>提供施工用水引接点，引接水管由承包方自行负责。</w:t>
      </w:r>
    </w:p>
    <w:p w14:paraId="698D3113">
      <w:pPr>
        <w:adjustRightInd w:val="0"/>
        <w:spacing w:line="360" w:lineRule="auto"/>
        <w:ind w:firstLine="480"/>
      </w:pPr>
      <w:r>
        <w:t>（3）施工场地条件</w:t>
      </w:r>
    </w:p>
    <w:p w14:paraId="0C73CCD0">
      <w:pPr>
        <w:adjustRightInd w:val="0"/>
        <w:spacing w:line="360" w:lineRule="auto"/>
        <w:ind w:firstLine="480"/>
        <w:rPr>
          <w:i/>
        </w:rPr>
      </w:pPr>
      <w:r>
        <w:t>场地地貌单元为海相淤积平原，地形较平坦，地面（田埂）自然标高在0.8m～1.6m（1985高程基准，下同）。场地现状主要为水塘，水深约1.0m～2.0m。场址西北、西南侧为坑塘，东北、东南侧为山体。具体情况详见</w:t>
      </w:r>
      <w:r>
        <w:rPr>
          <w:rFonts w:hint="eastAsia"/>
        </w:rPr>
        <w:t>附件3场区航拍照片</w:t>
      </w:r>
      <w:r>
        <w:t>。生活临设考虑由施工单位自行建设或厂外租住。</w:t>
      </w:r>
    </w:p>
    <w:p w14:paraId="53E1D718">
      <w:pPr>
        <w:numPr>
          <w:ilvl w:val="1"/>
          <w:numId w:val="1"/>
        </w:numPr>
        <w:adjustRightInd w:val="0"/>
        <w:spacing w:line="360" w:lineRule="auto"/>
        <w:ind w:left="0" w:firstLine="480"/>
        <w:outlineLvl w:val="1"/>
      </w:pPr>
      <w:bookmarkStart w:id="38" w:name="_Toc6288"/>
      <w:bookmarkStart w:id="39" w:name="_Toc190958855"/>
      <w:bookmarkStart w:id="40" w:name="_Toc18474"/>
      <w:bookmarkStart w:id="41" w:name="_Toc18002"/>
      <w:bookmarkStart w:id="42" w:name="_Toc15935"/>
      <w:bookmarkStart w:id="43" w:name="_Toc6032"/>
      <w:bookmarkStart w:id="44" w:name="_Toc20888"/>
      <w:bookmarkStart w:id="45" w:name="_Toc393441008"/>
      <w:r>
        <w:rPr>
          <w:rFonts w:hint="eastAsia"/>
          <w:lang w:val="en-US" w:eastAsia="zh-CN"/>
        </w:rPr>
        <w:t>招标</w:t>
      </w:r>
      <w:r>
        <w:t>范围</w:t>
      </w:r>
      <w:bookmarkEnd w:id="38"/>
      <w:bookmarkEnd w:id="39"/>
      <w:bookmarkEnd w:id="40"/>
      <w:bookmarkEnd w:id="41"/>
      <w:bookmarkEnd w:id="42"/>
      <w:bookmarkEnd w:id="43"/>
      <w:bookmarkEnd w:id="44"/>
      <w:bookmarkEnd w:id="45"/>
    </w:p>
    <w:p w14:paraId="58BE9676">
      <w:pPr>
        <w:adjustRightInd w:val="0"/>
        <w:spacing w:line="360" w:lineRule="auto"/>
        <w:ind w:firstLine="480"/>
      </w:pPr>
      <w:bookmarkStart w:id="46" w:name="_Toc9928"/>
      <w:r>
        <w:t>本合同</w:t>
      </w:r>
      <w:r>
        <w:rPr>
          <w:rFonts w:hint="eastAsia"/>
          <w:lang w:eastAsia="zh-CN"/>
        </w:rPr>
        <w:t>投标人</w:t>
      </w:r>
      <w:r>
        <w:t>承担的工作内容</w:t>
      </w:r>
      <w:bookmarkEnd w:id="46"/>
      <w:r>
        <w:t>包括但不限于：</w:t>
      </w:r>
    </w:p>
    <w:p w14:paraId="1875028A">
      <w:pPr>
        <w:adjustRightInd w:val="0"/>
        <w:spacing w:line="360" w:lineRule="auto"/>
        <w:ind w:firstLine="480"/>
        <w:rPr>
          <w:bCs/>
        </w:rPr>
      </w:pPr>
      <w:r>
        <w:rPr>
          <w:bCs/>
        </w:rPr>
        <w:t>本工程为舟山市普陀2#海上风电场项目</w:t>
      </w:r>
      <w:r>
        <w:rPr>
          <w:rFonts w:hint="eastAsia"/>
          <w:bCs/>
          <w:lang w:val="en-US" w:eastAsia="zh-CN"/>
        </w:rPr>
        <w:t>陆上集控中心</w:t>
      </w:r>
      <w:r>
        <w:rPr>
          <w:bCs/>
        </w:rPr>
        <w:t>四通一平项目，包括：现有建构筑物、设施的拆除和迁建、场地平整、施工道路、施工供电、施工供水</w:t>
      </w:r>
      <w:r>
        <w:rPr>
          <w:rFonts w:hint="eastAsia"/>
          <w:bCs/>
          <w:lang w:eastAsia="zh-CN"/>
        </w:rPr>
        <w:t>、</w:t>
      </w:r>
      <w:r>
        <w:rPr>
          <w:rFonts w:hint="eastAsia"/>
          <w:bCs/>
          <w:lang w:val="en-US" w:eastAsia="zh-CN"/>
        </w:rPr>
        <w:t>施工围挡及临时大门</w:t>
      </w:r>
      <w:r>
        <w:rPr>
          <w:bCs/>
        </w:rPr>
        <w:t>等内容。本次工作主要内容为将现状为鱼塘的场地平整至高程0.0m、高程1.6m（定向钻施工区），两块大虾塘之间的塘埂开挖至高程-0.2m，现有塘埂上的节制闸封闭措施，完成供水、供电</w:t>
      </w:r>
      <w:r>
        <w:rPr>
          <w:rFonts w:hint="eastAsia"/>
          <w:bCs/>
          <w:lang w:eastAsia="zh-CN"/>
        </w:rPr>
        <w:t>、</w:t>
      </w:r>
      <w:r>
        <w:rPr>
          <w:rFonts w:hint="eastAsia"/>
          <w:bCs/>
          <w:lang w:val="en-US" w:eastAsia="zh-CN"/>
        </w:rPr>
        <w:t>设施安装</w:t>
      </w:r>
      <w:r>
        <w:rPr>
          <w:bCs/>
        </w:rPr>
        <w:t>，使其满足后续主体工程施工条件。</w:t>
      </w:r>
    </w:p>
    <w:p w14:paraId="5F8B4804">
      <w:pPr>
        <w:adjustRightInd w:val="0"/>
        <w:spacing w:line="360" w:lineRule="auto"/>
        <w:ind w:firstLine="480"/>
      </w:pPr>
      <w:r>
        <w:rPr>
          <w:bCs/>
        </w:rPr>
        <w:t>四通一平施工期间的施工用水、施工用电、</w:t>
      </w:r>
      <w:r>
        <w:rPr>
          <w:rFonts w:hint="eastAsia"/>
          <w:bCs/>
          <w:lang w:val="en-US" w:eastAsia="zh-CN"/>
        </w:rPr>
        <w:t>施工便道、</w:t>
      </w:r>
      <w:r>
        <w:rPr>
          <w:bCs/>
        </w:rPr>
        <w:t>场地排水、防汛防台等工作由</w:t>
      </w:r>
      <w:r>
        <w:rPr>
          <w:rFonts w:hint="eastAsia"/>
          <w:bCs/>
          <w:lang w:eastAsia="zh-CN"/>
        </w:rPr>
        <w:t>投标人</w:t>
      </w:r>
      <w:r>
        <w:rPr>
          <w:bCs/>
        </w:rPr>
        <w:t>自行解决，所需费用包含在</w:t>
      </w:r>
      <w:r>
        <w:rPr>
          <w:rFonts w:hint="eastAsia"/>
          <w:bCs/>
          <w:lang w:eastAsia="zh-CN"/>
        </w:rPr>
        <w:t>投标人</w:t>
      </w:r>
      <w:r>
        <w:rPr>
          <w:bCs/>
        </w:rPr>
        <w:t>报价中。</w:t>
      </w:r>
    </w:p>
    <w:p w14:paraId="49E8DF03">
      <w:pPr>
        <w:numPr>
          <w:ilvl w:val="1"/>
          <w:numId w:val="1"/>
        </w:numPr>
        <w:adjustRightInd w:val="0"/>
        <w:spacing w:line="360" w:lineRule="auto"/>
        <w:ind w:left="0" w:firstLine="480"/>
        <w:outlineLvl w:val="1"/>
      </w:pPr>
      <w:bookmarkStart w:id="47" w:name="_Toc20107"/>
      <w:bookmarkStart w:id="48" w:name="_Toc393441009"/>
      <w:bookmarkStart w:id="49" w:name="_Toc32220"/>
      <w:bookmarkStart w:id="50" w:name="_Toc190958856"/>
      <w:bookmarkStart w:id="51" w:name="_Toc2113"/>
      <w:bookmarkStart w:id="52" w:name="_Toc5609"/>
      <w:bookmarkStart w:id="53" w:name="_Toc32566"/>
      <w:bookmarkStart w:id="54" w:name="_Toc10996"/>
      <w:r>
        <w:rPr>
          <w:rFonts w:hint="eastAsia"/>
          <w:lang w:eastAsia="zh-CN"/>
        </w:rPr>
        <w:t>招标人</w:t>
      </w:r>
      <w:r>
        <w:t>提供的施工图纸和文件</w:t>
      </w:r>
      <w:bookmarkEnd w:id="47"/>
      <w:bookmarkEnd w:id="48"/>
      <w:bookmarkEnd w:id="49"/>
      <w:bookmarkEnd w:id="50"/>
      <w:bookmarkEnd w:id="51"/>
      <w:bookmarkEnd w:id="52"/>
      <w:bookmarkEnd w:id="53"/>
      <w:bookmarkEnd w:id="54"/>
    </w:p>
    <w:p w14:paraId="5191A7FB">
      <w:pPr>
        <w:adjustRightInd w:val="0"/>
        <w:spacing w:line="360" w:lineRule="auto"/>
        <w:ind w:firstLine="480"/>
      </w:pPr>
      <w:r>
        <w:rPr>
          <w:rFonts w:hint="eastAsia"/>
          <w:lang w:eastAsia="zh-CN"/>
        </w:rPr>
        <w:t>招标人</w:t>
      </w:r>
      <w:r>
        <w:t>按合同约定向</w:t>
      </w:r>
      <w:r>
        <w:rPr>
          <w:rFonts w:hint="eastAsia"/>
          <w:lang w:eastAsia="zh-CN"/>
        </w:rPr>
        <w:t>投标人</w:t>
      </w:r>
      <w:r>
        <w:t>提供项目相关的设计基本资料，以及根据合同要求的其他资料等，</w:t>
      </w:r>
      <w:r>
        <w:rPr>
          <w:rFonts w:hint="eastAsia"/>
          <w:lang w:eastAsia="zh-CN"/>
        </w:rPr>
        <w:t>招标人</w:t>
      </w:r>
      <w:r>
        <w:t>不再另行收取费用。</w:t>
      </w:r>
    </w:p>
    <w:p w14:paraId="6E8EE258">
      <w:pPr>
        <w:pStyle w:val="2"/>
        <w:ind w:firstLine="840" w:firstLineChars="300"/>
        <w:rPr>
          <w:rFonts w:hint="default" w:eastAsia="宋体"/>
          <w:lang w:val="en-US" w:eastAsia="zh-CN"/>
        </w:rPr>
      </w:pPr>
      <w:r>
        <w:rPr>
          <w:rFonts w:hint="eastAsia"/>
          <w:lang w:val="en-US" w:eastAsia="zh-CN"/>
        </w:rPr>
        <w:t>表1.3-1       招标人提供的资料一览表</w:t>
      </w:r>
    </w:p>
    <w:tbl>
      <w:tblPr>
        <w:tblStyle w:val="28"/>
        <w:tblW w:w="456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267"/>
        <w:gridCol w:w="4257"/>
        <w:gridCol w:w="2962"/>
      </w:tblGrid>
      <w:tr w14:paraId="3213BA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tblHeader/>
          <w:jc w:val="center"/>
        </w:trPr>
        <w:tc>
          <w:tcPr>
            <w:tcW w:w="747" w:type="pct"/>
            <w:shd w:val="clear" w:color="auto" w:fill="auto"/>
            <w:vAlign w:val="center"/>
          </w:tcPr>
          <w:p w14:paraId="5D43B55A">
            <w:pPr>
              <w:adjustRightInd w:val="0"/>
              <w:spacing w:line="240" w:lineRule="auto"/>
              <w:ind w:firstLine="0" w:firstLineChars="0"/>
              <w:jc w:val="center"/>
            </w:pPr>
            <w:r>
              <w:rPr>
                <w:rFonts w:hint="eastAsia"/>
              </w:rPr>
              <w:t>附件序号</w:t>
            </w:r>
          </w:p>
        </w:tc>
        <w:tc>
          <w:tcPr>
            <w:tcW w:w="2508" w:type="pct"/>
            <w:shd w:val="clear" w:color="auto" w:fill="auto"/>
            <w:vAlign w:val="center"/>
          </w:tcPr>
          <w:p w14:paraId="2185D1F3">
            <w:pPr>
              <w:adjustRightInd w:val="0"/>
              <w:spacing w:line="240" w:lineRule="auto"/>
              <w:ind w:firstLine="0" w:firstLineChars="0"/>
              <w:jc w:val="center"/>
            </w:pPr>
            <w:r>
              <w:t>图纸名称</w:t>
            </w:r>
          </w:p>
        </w:tc>
        <w:tc>
          <w:tcPr>
            <w:tcW w:w="1745" w:type="pct"/>
            <w:shd w:val="clear" w:color="auto" w:fill="auto"/>
            <w:vAlign w:val="center"/>
          </w:tcPr>
          <w:p w14:paraId="43FDF9B3">
            <w:pPr>
              <w:adjustRightInd w:val="0"/>
              <w:spacing w:line="240" w:lineRule="auto"/>
              <w:ind w:firstLine="0" w:firstLineChars="0"/>
              <w:jc w:val="center"/>
            </w:pPr>
            <w:r>
              <w:t>备注</w:t>
            </w:r>
          </w:p>
        </w:tc>
      </w:tr>
      <w:tr w14:paraId="6B224C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747" w:type="pct"/>
            <w:shd w:val="clear" w:color="auto" w:fill="auto"/>
            <w:vAlign w:val="center"/>
          </w:tcPr>
          <w:p w14:paraId="6E3B3156">
            <w:pPr>
              <w:adjustRightInd w:val="0"/>
              <w:spacing w:line="240" w:lineRule="auto"/>
              <w:ind w:firstLine="0" w:firstLineChars="0"/>
              <w:jc w:val="center"/>
            </w:pPr>
            <w:r>
              <w:t>1</w:t>
            </w:r>
          </w:p>
        </w:tc>
        <w:tc>
          <w:tcPr>
            <w:tcW w:w="2508" w:type="pct"/>
            <w:shd w:val="clear" w:color="auto" w:fill="auto"/>
            <w:vAlign w:val="center"/>
          </w:tcPr>
          <w:p w14:paraId="6E3F5814">
            <w:pPr>
              <w:adjustRightInd w:val="0"/>
              <w:spacing w:line="240" w:lineRule="auto"/>
              <w:ind w:firstLine="0" w:firstLineChars="0"/>
              <w:jc w:val="left"/>
            </w:pPr>
            <w:r>
              <w:t>场平布置范围图</w:t>
            </w:r>
          </w:p>
        </w:tc>
        <w:tc>
          <w:tcPr>
            <w:tcW w:w="1745" w:type="pct"/>
            <w:shd w:val="clear" w:color="auto" w:fill="auto"/>
            <w:vAlign w:val="center"/>
          </w:tcPr>
          <w:p w14:paraId="0DBF0D15">
            <w:pPr>
              <w:adjustRightInd w:val="0"/>
              <w:spacing w:line="240" w:lineRule="auto"/>
              <w:ind w:firstLine="0" w:firstLineChars="0"/>
              <w:jc w:val="center"/>
            </w:pPr>
            <w:r>
              <w:t>场区区红线图</w:t>
            </w:r>
          </w:p>
        </w:tc>
      </w:tr>
      <w:tr w14:paraId="115823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747" w:type="pct"/>
            <w:shd w:val="clear" w:color="auto" w:fill="auto"/>
            <w:vAlign w:val="center"/>
          </w:tcPr>
          <w:p w14:paraId="16F46901">
            <w:pPr>
              <w:adjustRightInd w:val="0"/>
              <w:spacing w:line="240" w:lineRule="auto"/>
              <w:ind w:firstLine="0" w:firstLineChars="0"/>
              <w:jc w:val="center"/>
            </w:pPr>
            <w:r>
              <w:t>2</w:t>
            </w:r>
          </w:p>
        </w:tc>
        <w:tc>
          <w:tcPr>
            <w:tcW w:w="2508" w:type="pct"/>
            <w:shd w:val="clear" w:color="auto" w:fill="auto"/>
            <w:vAlign w:val="center"/>
          </w:tcPr>
          <w:p w14:paraId="5F5C28DE">
            <w:pPr>
              <w:adjustRightInd w:val="0"/>
              <w:spacing w:line="240" w:lineRule="auto"/>
              <w:ind w:firstLine="0" w:firstLineChars="0"/>
              <w:jc w:val="left"/>
            </w:pPr>
            <w:r>
              <w:t>场区测量地形图</w:t>
            </w:r>
          </w:p>
        </w:tc>
        <w:tc>
          <w:tcPr>
            <w:tcW w:w="1745" w:type="pct"/>
            <w:shd w:val="clear" w:color="auto" w:fill="auto"/>
            <w:vAlign w:val="center"/>
          </w:tcPr>
          <w:p w14:paraId="5A83E04F">
            <w:pPr>
              <w:adjustRightInd w:val="0"/>
              <w:spacing w:line="240" w:lineRule="auto"/>
              <w:ind w:firstLine="0" w:firstLineChars="0"/>
              <w:jc w:val="center"/>
            </w:pPr>
            <w:r>
              <w:t>CGCS2000-123度</w:t>
            </w:r>
          </w:p>
        </w:tc>
      </w:tr>
      <w:tr w14:paraId="15AA22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747" w:type="pct"/>
            <w:shd w:val="clear" w:color="auto" w:fill="auto"/>
            <w:vAlign w:val="center"/>
          </w:tcPr>
          <w:p w14:paraId="64DDB3E2">
            <w:pPr>
              <w:adjustRightInd w:val="0"/>
              <w:spacing w:line="240" w:lineRule="auto"/>
              <w:ind w:firstLine="0" w:firstLineChars="0"/>
              <w:jc w:val="center"/>
            </w:pPr>
            <w:r>
              <w:t>3</w:t>
            </w:r>
          </w:p>
        </w:tc>
        <w:tc>
          <w:tcPr>
            <w:tcW w:w="2508" w:type="pct"/>
            <w:shd w:val="clear" w:color="auto" w:fill="auto"/>
            <w:vAlign w:val="center"/>
          </w:tcPr>
          <w:p w14:paraId="60684ED2">
            <w:pPr>
              <w:adjustRightInd w:val="0"/>
              <w:spacing w:line="240" w:lineRule="auto"/>
              <w:ind w:firstLine="0" w:firstLineChars="0"/>
              <w:jc w:val="left"/>
            </w:pPr>
            <w:r>
              <w:t>场地航拍照片</w:t>
            </w:r>
          </w:p>
        </w:tc>
        <w:tc>
          <w:tcPr>
            <w:tcW w:w="1745" w:type="pct"/>
            <w:shd w:val="clear" w:color="auto" w:fill="auto"/>
            <w:vAlign w:val="center"/>
          </w:tcPr>
          <w:p w14:paraId="76FF3004">
            <w:pPr>
              <w:adjustRightInd w:val="0"/>
              <w:spacing w:line="240" w:lineRule="auto"/>
              <w:ind w:firstLine="0" w:firstLineChars="0"/>
              <w:jc w:val="center"/>
            </w:pPr>
          </w:p>
        </w:tc>
      </w:tr>
      <w:tr w14:paraId="774127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747" w:type="pct"/>
            <w:shd w:val="clear" w:color="auto" w:fill="auto"/>
            <w:vAlign w:val="center"/>
          </w:tcPr>
          <w:p w14:paraId="3B4BCB9E">
            <w:pPr>
              <w:adjustRightInd w:val="0"/>
              <w:spacing w:line="240" w:lineRule="auto"/>
              <w:ind w:firstLine="0" w:firstLineChars="0"/>
              <w:jc w:val="center"/>
            </w:pPr>
            <w:r>
              <w:t>4</w:t>
            </w:r>
          </w:p>
        </w:tc>
        <w:tc>
          <w:tcPr>
            <w:tcW w:w="2508" w:type="pct"/>
            <w:shd w:val="clear" w:color="auto" w:fill="auto"/>
            <w:vAlign w:val="center"/>
          </w:tcPr>
          <w:p w14:paraId="2FE17345">
            <w:pPr>
              <w:adjustRightInd w:val="0"/>
              <w:spacing w:line="240" w:lineRule="auto"/>
              <w:ind w:firstLine="0" w:firstLineChars="0"/>
              <w:jc w:val="left"/>
            </w:pPr>
            <w:r>
              <w:t>四通一平施工区总平面布置图</w:t>
            </w:r>
          </w:p>
        </w:tc>
        <w:tc>
          <w:tcPr>
            <w:tcW w:w="1745" w:type="pct"/>
            <w:shd w:val="clear" w:color="auto" w:fill="auto"/>
            <w:vAlign w:val="center"/>
          </w:tcPr>
          <w:p w14:paraId="2155FA26">
            <w:pPr>
              <w:adjustRightInd w:val="0"/>
              <w:spacing w:line="240" w:lineRule="auto"/>
              <w:ind w:firstLine="0" w:firstLineChars="0"/>
              <w:jc w:val="center"/>
            </w:pPr>
          </w:p>
        </w:tc>
      </w:tr>
      <w:tr w14:paraId="0967FF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747" w:type="pct"/>
            <w:shd w:val="clear" w:color="auto" w:fill="auto"/>
            <w:vAlign w:val="center"/>
          </w:tcPr>
          <w:p w14:paraId="61194EDB">
            <w:pPr>
              <w:adjustRightInd w:val="0"/>
              <w:spacing w:line="240" w:lineRule="auto"/>
              <w:ind w:firstLine="0" w:firstLineChars="0"/>
              <w:jc w:val="center"/>
            </w:pPr>
            <w:r>
              <w:t>5</w:t>
            </w:r>
          </w:p>
        </w:tc>
        <w:tc>
          <w:tcPr>
            <w:tcW w:w="2508" w:type="pct"/>
            <w:shd w:val="clear" w:color="auto" w:fill="auto"/>
            <w:vAlign w:val="center"/>
          </w:tcPr>
          <w:p w14:paraId="544234A6">
            <w:pPr>
              <w:adjustRightInd w:val="0"/>
              <w:spacing w:line="240" w:lineRule="auto"/>
              <w:ind w:firstLine="0" w:firstLineChars="0"/>
              <w:jc w:val="left"/>
            </w:pPr>
            <w:r>
              <w:t>四通一平场地平整土石方计算图</w:t>
            </w:r>
          </w:p>
        </w:tc>
        <w:tc>
          <w:tcPr>
            <w:tcW w:w="1745" w:type="pct"/>
            <w:shd w:val="clear" w:color="auto" w:fill="auto"/>
            <w:vAlign w:val="center"/>
          </w:tcPr>
          <w:p w14:paraId="57378A77">
            <w:pPr>
              <w:adjustRightInd w:val="0"/>
              <w:spacing w:line="240" w:lineRule="auto"/>
              <w:ind w:firstLine="0" w:firstLineChars="0"/>
              <w:jc w:val="center"/>
            </w:pPr>
          </w:p>
        </w:tc>
      </w:tr>
      <w:tr w14:paraId="7BA450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747" w:type="pct"/>
            <w:shd w:val="clear" w:color="auto" w:fill="auto"/>
            <w:vAlign w:val="center"/>
          </w:tcPr>
          <w:p w14:paraId="4751181C">
            <w:pPr>
              <w:adjustRightInd w:val="0"/>
              <w:spacing w:line="240" w:lineRule="auto"/>
              <w:ind w:firstLine="0" w:firstLineChars="0"/>
              <w:jc w:val="center"/>
            </w:pPr>
            <w:r>
              <w:t>6</w:t>
            </w:r>
          </w:p>
        </w:tc>
        <w:tc>
          <w:tcPr>
            <w:tcW w:w="2508" w:type="pct"/>
            <w:shd w:val="clear" w:color="auto" w:fill="auto"/>
            <w:vAlign w:val="center"/>
          </w:tcPr>
          <w:p w14:paraId="3F112394">
            <w:pPr>
              <w:adjustRightInd w:val="0"/>
              <w:spacing w:line="240" w:lineRule="auto"/>
              <w:ind w:firstLine="0" w:firstLineChars="0"/>
              <w:jc w:val="left"/>
            </w:pPr>
            <w:r>
              <w:t>四通一平道路布置图及详图</w:t>
            </w:r>
          </w:p>
        </w:tc>
        <w:tc>
          <w:tcPr>
            <w:tcW w:w="1745" w:type="pct"/>
            <w:shd w:val="clear" w:color="auto" w:fill="auto"/>
            <w:vAlign w:val="center"/>
          </w:tcPr>
          <w:p w14:paraId="7CE54170">
            <w:pPr>
              <w:adjustRightInd w:val="0"/>
              <w:spacing w:line="240" w:lineRule="auto"/>
              <w:ind w:firstLine="0" w:firstLineChars="0"/>
              <w:jc w:val="center"/>
            </w:pPr>
          </w:p>
        </w:tc>
      </w:tr>
      <w:tr w14:paraId="235739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747" w:type="pct"/>
            <w:shd w:val="clear" w:color="auto" w:fill="auto"/>
            <w:vAlign w:val="center"/>
          </w:tcPr>
          <w:p w14:paraId="49848E2B">
            <w:pPr>
              <w:adjustRightInd w:val="0"/>
              <w:spacing w:line="240" w:lineRule="auto"/>
              <w:ind w:firstLine="0" w:firstLineChars="0"/>
              <w:jc w:val="center"/>
            </w:pPr>
            <w:r>
              <w:t>7</w:t>
            </w:r>
          </w:p>
        </w:tc>
        <w:tc>
          <w:tcPr>
            <w:tcW w:w="2508" w:type="pct"/>
            <w:shd w:val="clear" w:color="auto" w:fill="auto"/>
            <w:vAlign w:val="center"/>
          </w:tcPr>
          <w:p w14:paraId="5BC14A49">
            <w:pPr>
              <w:adjustRightInd w:val="0"/>
              <w:spacing w:line="240" w:lineRule="auto"/>
              <w:ind w:firstLine="0" w:firstLineChars="0"/>
              <w:jc w:val="left"/>
            </w:pPr>
            <w:r>
              <w:t>四通一平临时围挡布置图</w:t>
            </w:r>
          </w:p>
        </w:tc>
        <w:tc>
          <w:tcPr>
            <w:tcW w:w="1745" w:type="pct"/>
            <w:shd w:val="clear" w:color="auto" w:fill="auto"/>
            <w:vAlign w:val="center"/>
          </w:tcPr>
          <w:p w14:paraId="36269894">
            <w:pPr>
              <w:adjustRightInd w:val="0"/>
              <w:spacing w:line="240" w:lineRule="auto"/>
              <w:ind w:firstLine="0" w:firstLineChars="0"/>
              <w:jc w:val="center"/>
            </w:pPr>
          </w:p>
        </w:tc>
      </w:tr>
      <w:tr w14:paraId="22D299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747" w:type="pct"/>
            <w:shd w:val="clear" w:color="auto" w:fill="auto"/>
            <w:vAlign w:val="center"/>
          </w:tcPr>
          <w:p w14:paraId="3D1121E8">
            <w:pPr>
              <w:adjustRightInd w:val="0"/>
              <w:spacing w:line="240" w:lineRule="auto"/>
              <w:ind w:firstLine="0" w:firstLineChars="0"/>
              <w:jc w:val="center"/>
            </w:pPr>
            <w:r>
              <w:t>8</w:t>
            </w:r>
          </w:p>
        </w:tc>
        <w:tc>
          <w:tcPr>
            <w:tcW w:w="2508" w:type="pct"/>
            <w:shd w:val="clear" w:color="auto" w:fill="auto"/>
            <w:vAlign w:val="center"/>
          </w:tcPr>
          <w:p w14:paraId="5D9DD969">
            <w:pPr>
              <w:adjustRightInd w:val="0"/>
              <w:spacing w:line="240" w:lineRule="auto"/>
              <w:ind w:firstLine="0" w:firstLineChars="0"/>
              <w:jc w:val="left"/>
            </w:pPr>
            <w:r>
              <w:t>施工用水管道布置图</w:t>
            </w:r>
          </w:p>
        </w:tc>
        <w:tc>
          <w:tcPr>
            <w:tcW w:w="1745" w:type="pct"/>
            <w:shd w:val="clear" w:color="auto" w:fill="auto"/>
            <w:vAlign w:val="center"/>
          </w:tcPr>
          <w:p w14:paraId="457C2AD7">
            <w:pPr>
              <w:adjustRightInd w:val="0"/>
              <w:spacing w:line="240" w:lineRule="auto"/>
              <w:ind w:firstLine="0" w:firstLineChars="0"/>
              <w:jc w:val="center"/>
            </w:pPr>
          </w:p>
        </w:tc>
      </w:tr>
    </w:tbl>
    <w:p w14:paraId="560A8662">
      <w:pPr>
        <w:adjustRightInd w:val="0"/>
        <w:spacing w:line="360" w:lineRule="auto"/>
        <w:ind w:firstLine="480"/>
      </w:pPr>
    </w:p>
    <w:p w14:paraId="5B8F9033">
      <w:pPr>
        <w:numPr>
          <w:ilvl w:val="1"/>
          <w:numId w:val="1"/>
        </w:numPr>
        <w:adjustRightInd w:val="0"/>
        <w:spacing w:line="360" w:lineRule="auto"/>
        <w:ind w:left="0" w:firstLine="480"/>
        <w:outlineLvl w:val="1"/>
      </w:pPr>
      <w:bookmarkStart w:id="55" w:name="_Toc14735"/>
      <w:bookmarkStart w:id="56" w:name="_Toc393441010"/>
      <w:r>
        <w:t xml:space="preserve"> </w:t>
      </w:r>
      <w:bookmarkStart w:id="57" w:name="_Toc32481"/>
      <w:bookmarkStart w:id="58" w:name="_Toc9933"/>
      <w:bookmarkStart w:id="59" w:name="_Toc13627"/>
      <w:bookmarkStart w:id="60" w:name="_Toc6655"/>
      <w:bookmarkStart w:id="61" w:name="_Toc3407"/>
      <w:bookmarkStart w:id="62" w:name="_Toc190958857"/>
      <w:r>
        <w:rPr>
          <w:rFonts w:hint="eastAsia"/>
          <w:lang w:eastAsia="zh-CN"/>
        </w:rPr>
        <w:t>投标人</w:t>
      </w:r>
      <w:r>
        <w:t>提交的文件</w:t>
      </w:r>
      <w:bookmarkEnd w:id="55"/>
      <w:bookmarkEnd w:id="56"/>
      <w:bookmarkEnd w:id="57"/>
      <w:bookmarkEnd w:id="58"/>
      <w:bookmarkEnd w:id="59"/>
      <w:bookmarkEnd w:id="60"/>
      <w:bookmarkEnd w:id="61"/>
      <w:bookmarkEnd w:id="62"/>
      <w:r>
        <w:t xml:space="preserve">  </w:t>
      </w:r>
    </w:p>
    <w:p w14:paraId="1DF9DD53">
      <w:pPr>
        <w:tabs>
          <w:tab w:val="left" w:pos="0"/>
          <w:tab w:val="left" w:pos="397"/>
        </w:tabs>
        <w:adjustRightInd w:val="0"/>
        <w:spacing w:line="360" w:lineRule="auto"/>
        <w:ind w:firstLine="480"/>
        <w:outlineLvl w:val="2"/>
      </w:pPr>
      <w:bookmarkStart w:id="63" w:name="_Toc16771"/>
      <w:bookmarkStart w:id="64" w:name="_Toc20865"/>
      <w:bookmarkStart w:id="65" w:name="_Toc13385"/>
      <w:bookmarkStart w:id="66" w:name="_Toc489"/>
      <w:bookmarkStart w:id="67" w:name="_Toc18091"/>
      <w:bookmarkStart w:id="68" w:name="_Toc190958858"/>
      <w:bookmarkStart w:id="69" w:name="_Toc22345"/>
      <w:r>
        <w:t>1.4.1  施工总平面布置设计</w:t>
      </w:r>
      <w:bookmarkEnd w:id="63"/>
      <w:bookmarkEnd w:id="64"/>
      <w:bookmarkEnd w:id="65"/>
      <w:bookmarkEnd w:id="66"/>
      <w:bookmarkEnd w:id="67"/>
      <w:bookmarkEnd w:id="68"/>
      <w:bookmarkEnd w:id="69"/>
    </w:p>
    <w:p w14:paraId="354075C0">
      <w:pPr>
        <w:adjustRightInd w:val="0"/>
        <w:spacing w:line="360" w:lineRule="auto"/>
        <w:ind w:firstLine="480"/>
      </w:pPr>
      <w:r>
        <w:t>（1）</w:t>
      </w:r>
      <w:r>
        <w:rPr>
          <w:rFonts w:hint="eastAsia"/>
          <w:lang w:eastAsia="zh-CN"/>
        </w:rPr>
        <w:t>投标人</w:t>
      </w:r>
      <w:r>
        <w:t>应在合同签订后</w:t>
      </w:r>
      <w:r>
        <w:rPr>
          <w:u w:val="single"/>
        </w:rPr>
        <w:t xml:space="preserve">  5   </w:t>
      </w:r>
      <w:r>
        <w:t>天内，将本合同工程的施工总布置设计文件，提交</w:t>
      </w:r>
      <w:r>
        <w:rPr>
          <w:rFonts w:hint="eastAsia"/>
          <w:lang w:eastAsia="zh-CN"/>
        </w:rPr>
        <w:t>招标人</w:t>
      </w:r>
      <w:r>
        <w:t>批准。</w:t>
      </w:r>
      <w:r>
        <w:rPr>
          <w:rFonts w:hint="eastAsia"/>
          <w:lang w:eastAsia="zh-CN"/>
        </w:rPr>
        <w:t>招标人</w:t>
      </w:r>
      <w:r>
        <w:t>应在签收后</w:t>
      </w:r>
      <w:r>
        <w:rPr>
          <w:u w:val="single"/>
        </w:rPr>
        <w:t xml:space="preserve">  3  </w:t>
      </w:r>
      <w:r>
        <w:t>天内批复</w:t>
      </w:r>
      <w:r>
        <w:rPr>
          <w:rFonts w:hint="eastAsia"/>
          <w:lang w:eastAsia="zh-CN"/>
        </w:rPr>
        <w:t>投标人</w:t>
      </w:r>
      <w:r>
        <w:t>。</w:t>
      </w:r>
    </w:p>
    <w:p w14:paraId="2BDF24E7">
      <w:pPr>
        <w:adjustRightInd w:val="0"/>
        <w:spacing w:line="360" w:lineRule="auto"/>
        <w:ind w:firstLine="480"/>
      </w:pPr>
      <w:r>
        <w:t>（2）</w:t>
      </w:r>
      <w:r>
        <w:rPr>
          <w:rFonts w:hint="eastAsia"/>
          <w:lang w:eastAsia="zh-CN"/>
        </w:rPr>
        <w:t>投标人</w:t>
      </w:r>
      <w:r>
        <w:t>提交的施工总平面布置设计文件至少应包括：施工生产、生活临设布置，施工道路，施工用水、用电管线布置、变电所及容量，施工场地标高及地面处理方案，施工场地及临设场地内围栏、大门等。</w:t>
      </w:r>
    </w:p>
    <w:p w14:paraId="4E6FE056">
      <w:pPr>
        <w:adjustRightInd w:val="0"/>
        <w:spacing w:line="360" w:lineRule="auto"/>
        <w:ind w:firstLine="480"/>
        <w:rPr>
          <w:rFonts w:hint="default" w:eastAsia="宋体"/>
          <w:lang w:val="en-US" w:eastAsia="zh-CN"/>
        </w:rPr>
      </w:pPr>
      <w:r>
        <w:t>（3）</w:t>
      </w:r>
      <w:r>
        <w:rPr>
          <w:rFonts w:hint="eastAsia"/>
          <w:lang w:eastAsia="zh-CN"/>
        </w:rPr>
        <w:t>投标人</w:t>
      </w:r>
      <w:r>
        <w:t>提交的施工总布置的占地范围不得超过</w:t>
      </w:r>
      <w:r>
        <w:rPr>
          <w:rFonts w:hint="eastAsia"/>
          <w:lang w:eastAsia="zh-CN"/>
        </w:rPr>
        <w:t>招标人</w:t>
      </w:r>
      <w:r>
        <w:t>划定的界线，施工用水、用电也应控制在</w:t>
      </w:r>
      <w:r>
        <w:rPr>
          <w:rFonts w:hint="eastAsia"/>
          <w:lang w:eastAsia="zh-CN"/>
        </w:rPr>
        <w:t>招标人</w:t>
      </w:r>
      <w:r>
        <w:t>提供的限值以下。</w:t>
      </w:r>
      <w:r>
        <w:rPr>
          <w:rFonts w:hint="eastAsia"/>
          <w:lang w:val="en-US" w:eastAsia="zh-CN"/>
        </w:rPr>
        <w:t>若施工需要超出红线范围，相关征地费用及手续办理由投标人在报价中自行考虑。</w:t>
      </w:r>
    </w:p>
    <w:p w14:paraId="5C0393AA">
      <w:pPr>
        <w:tabs>
          <w:tab w:val="left" w:pos="0"/>
          <w:tab w:val="left" w:pos="397"/>
        </w:tabs>
        <w:adjustRightInd w:val="0"/>
        <w:spacing w:line="360" w:lineRule="auto"/>
        <w:ind w:firstLine="480"/>
        <w:outlineLvl w:val="2"/>
      </w:pPr>
      <w:bookmarkStart w:id="70" w:name="_Toc190958859"/>
      <w:bookmarkStart w:id="71" w:name="_Toc6346"/>
      <w:bookmarkStart w:id="72" w:name="_Toc30600"/>
      <w:bookmarkStart w:id="73" w:name="_Toc4312"/>
      <w:bookmarkStart w:id="74" w:name="_Toc19573"/>
      <w:bookmarkStart w:id="75" w:name="_Toc24410"/>
      <w:bookmarkStart w:id="76" w:name="_Toc20004"/>
      <w:r>
        <w:t>1.4.2  施工总进度计划</w:t>
      </w:r>
      <w:bookmarkEnd w:id="70"/>
      <w:bookmarkEnd w:id="71"/>
      <w:bookmarkEnd w:id="72"/>
      <w:bookmarkEnd w:id="73"/>
      <w:bookmarkEnd w:id="74"/>
      <w:bookmarkEnd w:id="75"/>
      <w:bookmarkEnd w:id="76"/>
    </w:p>
    <w:p w14:paraId="247E1561">
      <w:pPr>
        <w:adjustRightInd w:val="0"/>
        <w:spacing w:line="360" w:lineRule="auto"/>
        <w:ind w:firstLine="480"/>
      </w:pPr>
      <w:r>
        <w:t>（1）</w:t>
      </w:r>
      <w:r>
        <w:rPr>
          <w:rFonts w:hint="eastAsia"/>
          <w:lang w:eastAsia="zh-CN"/>
        </w:rPr>
        <w:t>投标人</w:t>
      </w:r>
      <w:r>
        <w:t>应在合同签订后</w:t>
      </w:r>
      <w:r>
        <w:rPr>
          <w:u w:val="single"/>
        </w:rPr>
        <w:t xml:space="preserve">  7   </w:t>
      </w:r>
      <w:r>
        <w:t>天内，将施工总进度网络计划提交</w:t>
      </w:r>
      <w:r>
        <w:rPr>
          <w:rFonts w:hint="eastAsia"/>
          <w:lang w:eastAsia="zh-CN"/>
        </w:rPr>
        <w:t>招标人</w:t>
      </w:r>
      <w:r>
        <w:t>批准，</w:t>
      </w:r>
      <w:r>
        <w:rPr>
          <w:rFonts w:hint="eastAsia"/>
          <w:lang w:eastAsia="zh-CN"/>
        </w:rPr>
        <w:t>招标人</w:t>
      </w:r>
      <w:r>
        <w:t>应在签收后</w:t>
      </w:r>
      <w:r>
        <w:rPr>
          <w:u w:val="single"/>
        </w:rPr>
        <w:t xml:space="preserve">  7  </w:t>
      </w:r>
      <w:r>
        <w:t>天内批复</w:t>
      </w:r>
      <w:r>
        <w:rPr>
          <w:rFonts w:hint="eastAsia"/>
          <w:lang w:eastAsia="zh-CN"/>
        </w:rPr>
        <w:t>投标人</w:t>
      </w:r>
      <w:r>
        <w:t>。</w:t>
      </w:r>
    </w:p>
    <w:p w14:paraId="04B798FD">
      <w:pPr>
        <w:adjustRightInd w:val="0"/>
        <w:spacing w:line="360" w:lineRule="auto"/>
        <w:ind w:firstLine="480"/>
      </w:pPr>
      <w:r>
        <w:t>（2）</w:t>
      </w:r>
      <w:r>
        <w:rPr>
          <w:rFonts w:hint="eastAsia"/>
          <w:lang w:eastAsia="zh-CN"/>
        </w:rPr>
        <w:t>投标人</w:t>
      </w:r>
      <w:r>
        <w:t>编制的施工总进度计划应满足本合同约定的各工程施工控制节点工期要求，并附需要的资源和说明。</w:t>
      </w:r>
    </w:p>
    <w:p w14:paraId="7680B93C">
      <w:pPr>
        <w:tabs>
          <w:tab w:val="left" w:pos="0"/>
          <w:tab w:val="left" w:pos="397"/>
        </w:tabs>
        <w:adjustRightInd w:val="0"/>
        <w:spacing w:line="360" w:lineRule="auto"/>
        <w:ind w:firstLine="480"/>
        <w:outlineLvl w:val="2"/>
      </w:pPr>
      <w:bookmarkStart w:id="77" w:name="_Toc190958860"/>
      <w:bookmarkStart w:id="78" w:name="_Toc4562"/>
      <w:bookmarkStart w:id="79" w:name="_Toc2238"/>
      <w:bookmarkStart w:id="80" w:name="_Toc29785"/>
      <w:bookmarkStart w:id="81" w:name="_Toc7214"/>
      <w:bookmarkStart w:id="82" w:name="_Toc27866"/>
      <w:bookmarkStart w:id="83" w:name="_Toc10905"/>
      <w:r>
        <w:t>1.4.3  施工组织（总）设计</w:t>
      </w:r>
      <w:bookmarkEnd w:id="77"/>
      <w:bookmarkEnd w:id="78"/>
      <w:bookmarkEnd w:id="79"/>
      <w:bookmarkEnd w:id="80"/>
      <w:bookmarkEnd w:id="81"/>
      <w:bookmarkEnd w:id="82"/>
      <w:bookmarkEnd w:id="83"/>
    </w:p>
    <w:p w14:paraId="40FD5856">
      <w:pPr>
        <w:adjustRightInd w:val="0"/>
        <w:spacing w:line="360" w:lineRule="auto"/>
        <w:ind w:firstLine="480"/>
      </w:pPr>
      <w:r>
        <w:t>（1）</w:t>
      </w:r>
      <w:r>
        <w:rPr>
          <w:rFonts w:hint="eastAsia"/>
          <w:lang w:eastAsia="zh-CN"/>
        </w:rPr>
        <w:t>投标人</w:t>
      </w:r>
      <w:r>
        <w:t>应在合同签订后</w:t>
      </w:r>
      <w:r>
        <w:rPr>
          <w:u w:val="single"/>
        </w:rPr>
        <w:t xml:space="preserve">  14  </w:t>
      </w:r>
      <w:r>
        <w:t>天内，将施工组织（总）设计提交</w:t>
      </w:r>
      <w:r>
        <w:rPr>
          <w:rFonts w:hint="eastAsia"/>
          <w:lang w:eastAsia="zh-CN"/>
        </w:rPr>
        <w:t>招标人</w:t>
      </w:r>
      <w:r>
        <w:t>批准，</w:t>
      </w:r>
      <w:r>
        <w:rPr>
          <w:rFonts w:hint="eastAsia"/>
          <w:lang w:eastAsia="zh-CN"/>
        </w:rPr>
        <w:t>招标人</w:t>
      </w:r>
      <w:r>
        <w:t>应在签收后</w:t>
      </w:r>
      <w:r>
        <w:rPr>
          <w:u w:val="single"/>
        </w:rPr>
        <w:t xml:space="preserve">  14  </w:t>
      </w:r>
      <w:r>
        <w:t>天内批复</w:t>
      </w:r>
      <w:r>
        <w:rPr>
          <w:rFonts w:hint="eastAsia"/>
          <w:lang w:eastAsia="zh-CN"/>
        </w:rPr>
        <w:t>投标人</w:t>
      </w:r>
      <w:r>
        <w:t>。</w:t>
      </w:r>
    </w:p>
    <w:p w14:paraId="370ED4A4">
      <w:pPr>
        <w:adjustRightInd w:val="0"/>
        <w:spacing w:line="360" w:lineRule="auto"/>
        <w:ind w:firstLine="480"/>
      </w:pPr>
      <w:r>
        <w:t>（2）施工组织（总）设计内容至少应包括：</w:t>
      </w:r>
    </w:p>
    <w:p w14:paraId="40FC9A76">
      <w:pPr>
        <w:adjustRightInd w:val="0"/>
        <w:spacing w:line="360" w:lineRule="auto"/>
        <w:ind w:firstLine="480"/>
      </w:pPr>
      <w:r>
        <w:t>1）工程管理方针和目标；</w:t>
      </w:r>
    </w:p>
    <w:p w14:paraId="3C99F6AE">
      <w:pPr>
        <w:adjustRightInd w:val="0"/>
        <w:spacing w:line="360" w:lineRule="auto"/>
        <w:ind w:firstLine="480"/>
      </w:pPr>
      <w:r>
        <w:t>2）组织管理机构、人员组成，主要岗位及人员职责；</w:t>
      </w:r>
    </w:p>
    <w:p w14:paraId="23974E03">
      <w:pPr>
        <w:adjustRightInd w:val="0"/>
        <w:spacing w:line="360" w:lineRule="auto"/>
        <w:ind w:firstLine="480"/>
      </w:pPr>
      <w:r>
        <w:t>3）工程特点、施工难点及相应对策措施</w:t>
      </w:r>
    </w:p>
    <w:p w14:paraId="5AC85EE1">
      <w:pPr>
        <w:adjustRightInd w:val="0"/>
        <w:spacing w:line="360" w:lineRule="auto"/>
        <w:ind w:firstLine="480"/>
      </w:pPr>
      <w:r>
        <w:t>4）施工总体布署（施工总平面布置）</w:t>
      </w:r>
    </w:p>
    <w:p w14:paraId="74DFA258">
      <w:pPr>
        <w:adjustRightInd w:val="0"/>
        <w:spacing w:line="360" w:lineRule="auto"/>
        <w:ind w:firstLine="480"/>
      </w:pPr>
      <w:r>
        <w:t>5）施工总进度计划及工期保证措施（包括以横道图或网络图形式表示的进度计划、一份标明关键线路的网络进度计划、保障进度计划需要的主要施工机械设备、劳动力需求计划及保证措施、材料设备进场计划及保证措施等）；</w:t>
      </w:r>
    </w:p>
    <w:p w14:paraId="543D72E0">
      <w:pPr>
        <w:adjustRightInd w:val="0"/>
        <w:spacing w:line="360" w:lineRule="auto"/>
        <w:ind w:firstLine="480"/>
      </w:pPr>
      <w:r>
        <w:t>6）分部、分项工程特别是关键工序的完整的施工方案及技术措施：</w:t>
      </w:r>
    </w:p>
    <w:p w14:paraId="578DCB5F">
      <w:pPr>
        <w:adjustRightInd w:val="0"/>
        <w:spacing w:line="360" w:lineRule="auto"/>
        <w:ind w:firstLine="480"/>
      </w:pPr>
      <w:r>
        <w:t>7）质量保证措施和创优计划；</w:t>
      </w:r>
    </w:p>
    <w:p w14:paraId="01DA09CE">
      <w:pPr>
        <w:adjustRightInd w:val="0"/>
        <w:spacing w:line="360" w:lineRule="auto"/>
        <w:ind w:firstLine="480"/>
      </w:pPr>
      <w:r>
        <w:t>8）施工安全保证、文明施工、环境保护措施；</w:t>
      </w:r>
    </w:p>
    <w:p w14:paraId="44722A23">
      <w:pPr>
        <w:adjustRightInd w:val="0"/>
        <w:spacing w:line="360" w:lineRule="auto"/>
        <w:ind w:firstLine="480"/>
      </w:pPr>
      <w:r>
        <w:t>9）冬季和雨季、防台风及强降雨施工措施；</w:t>
      </w:r>
    </w:p>
    <w:p w14:paraId="30030BAA">
      <w:pPr>
        <w:adjustRightInd w:val="0"/>
        <w:spacing w:line="360" w:lineRule="auto"/>
        <w:ind w:firstLine="480"/>
      </w:pPr>
      <w:r>
        <w:t xml:space="preserve">10）成品保护和工程保修工作的管理措施和承诺； </w:t>
      </w:r>
    </w:p>
    <w:p w14:paraId="6D955CFD">
      <w:pPr>
        <w:adjustRightInd w:val="0"/>
        <w:spacing w:line="360" w:lineRule="auto"/>
        <w:ind w:firstLine="480"/>
      </w:pPr>
      <w:r>
        <w:t>11）与</w:t>
      </w:r>
      <w:r>
        <w:rPr>
          <w:rFonts w:hint="eastAsia"/>
          <w:lang w:eastAsia="zh-CN"/>
        </w:rPr>
        <w:t>招标人</w:t>
      </w:r>
      <w:r>
        <w:t>、监理及设计单位的配合；</w:t>
      </w:r>
    </w:p>
    <w:p w14:paraId="43A2F45C">
      <w:pPr>
        <w:adjustRightInd w:val="0"/>
        <w:spacing w:line="360" w:lineRule="auto"/>
        <w:ind w:firstLine="480"/>
      </w:pPr>
      <w:r>
        <w:t>12）拟采用的“五新”（新技术、新工艺、新设备、新材料、新流程）；</w:t>
      </w:r>
    </w:p>
    <w:p w14:paraId="7FB55C46">
      <w:pPr>
        <w:adjustRightInd w:val="0"/>
        <w:spacing w:line="360" w:lineRule="auto"/>
        <w:ind w:firstLine="480"/>
      </w:pPr>
      <w:r>
        <w:t>13）强制性条文实施措施；</w:t>
      </w:r>
    </w:p>
    <w:p w14:paraId="5CDE0720">
      <w:pPr>
        <w:adjustRightInd w:val="0"/>
        <w:spacing w:line="360" w:lineRule="auto"/>
        <w:ind w:firstLine="480"/>
      </w:pPr>
      <w:r>
        <w:t>14）绿色工程施工措施；</w:t>
      </w:r>
    </w:p>
    <w:p w14:paraId="658B30A8">
      <w:pPr>
        <w:adjustRightInd w:val="0"/>
        <w:spacing w:line="360" w:lineRule="auto"/>
        <w:ind w:firstLine="480"/>
      </w:pPr>
      <w:r>
        <w:t>15）其他内容。</w:t>
      </w:r>
    </w:p>
    <w:p w14:paraId="781ABFFB">
      <w:pPr>
        <w:tabs>
          <w:tab w:val="left" w:pos="0"/>
          <w:tab w:val="left" w:pos="397"/>
        </w:tabs>
        <w:adjustRightInd w:val="0"/>
        <w:spacing w:line="360" w:lineRule="auto"/>
        <w:ind w:firstLine="480"/>
        <w:outlineLvl w:val="2"/>
      </w:pPr>
      <w:bookmarkStart w:id="84" w:name="_Toc8852"/>
      <w:bookmarkStart w:id="85" w:name="_Toc26633"/>
      <w:bookmarkStart w:id="86" w:name="_Toc190958861"/>
      <w:bookmarkStart w:id="87" w:name="_Toc23709"/>
      <w:bookmarkStart w:id="88" w:name="_Toc11792"/>
      <w:bookmarkStart w:id="89" w:name="_Toc1979"/>
      <w:bookmarkStart w:id="90" w:name="_Toc24272"/>
      <w:r>
        <w:t xml:space="preserve">1.4.4  </w:t>
      </w:r>
      <w:r>
        <w:rPr>
          <w:rFonts w:hint="eastAsia"/>
          <w:lang w:eastAsia="zh-CN"/>
        </w:rPr>
        <w:t>投标人</w:t>
      </w:r>
      <w:r>
        <w:t>文件的审批</w:t>
      </w:r>
      <w:bookmarkEnd w:id="84"/>
      <w:bookmarkEnd w:id="85"/>
      <w:bookmarkEnd w:id="86"/>
      <w:bookmarkEnd w:id="87"/>
      <w:bookmarkEnd w:id="88"/>
      <w:bookmarkEnd w:id="89"/>
      <w:bookmarkEnd w:id="90"/>
    </w:p>
    <w:p w14:paraId="7F36D9A3">
      <w:pPr>
        <w:adjustRightInd w:val="0"/>
        <w:spacing w:line="360" w:lineRule="auto"/>
        <w:ind w:firstLine="480"/>
      </w:pPr>
      <w:r>
        <w:t>（1）除合同另有约定外，凡须经</w:t>
      </w:r>
      <w:r>
        <w:rPr>
          <w:rFonts w:hint="eastAsia"/>
          <w:lang w:eastAsia="zh-CN"/>
        </w:rPr>
        <w:t>招标人</w:t>
      </w:r>
      <w:r>
        <w:t>审批的</w:t>
      </w:r>
      <w:r>
        <w:rPr>
          <w:rFonts w:hint="eastAsia"/>
          <w:lang w:eastAsia="zh-CN"/>
        </w:rPr>
        <w:t>投标人</w:t>
      </w:r>
      <w:r>
        <w:t>文件，</w:t>
      </w:r>
      <w:r>
        <w:rPr>
          <w:rFonts w:hint="eastAsia"/>
          <w:lang w:eastAsia="zh-CN"/>
        </w:rPr>
        <w:t>招标人</w:t>
      </w:r>
      <w:r>
        <w:t>应根据文件的性质在收到文件后</w:t>
      </w:r>
      <w:r>
        <w:rPr>
          <w:u w:val="single"/>
        </w:rPr>
        <w:t xml:space="preserve">  3  </w:t>
      </w:r>
      <w:r>
        <w:t>天内组织审查会议或直接批复</w:t>
      </w:r>
      <w:r>
        <w:rPr>
          <w:rFonts w:hint="eastAsia"/>
          <w:lang w:eastAsia="zh-CN"/>
        </w:rPr>
        <w:t>投标人</w:t>
      </w:r>
      <w:r>
        <w:t>，逾期不答复，则视为已经</w:t>
      </w:r>
      <w:r>
        <w:rPr>
          <w:rFonts w:hint="eastAsia"/>
          <w:lang w:eastAsia="zh-CN"/>
        </w:rPr>
        <w:t>招标人</w:t>
      </w:r>
      <w:r>
        <w:t>批准。</w:t>
      </w:r>
      <w:r>
        <w:rPr>
          <w:rFonts w:hint="eastAsia"/>
          <w:lang w:eastAsia="zh-CN"/>
        </w:rPr>
        <w:t>招标人</w:t>
      </w:r>
      <w:r>
        <w:t>的审批意见包括：</w:t>
      </w:r>
    </w:p>
    <w:p w14:paraId="2EC65CE6">
      <w:pPr>
        <w:adjustRightInd w:val="0"/>
        <w:spacing w:line="360" w:lineRule="auto"/>
        <w:ind w:firstLine="480"/>
      </w:pPr>
      <w:r>
        <w:t>1）同意按此执行；</w:t>
      </w:r>
    </w:p>
    <w:p w14:paraId="2492E206">
      <w:pPr>
        <w:adjustRightInd w:val="0"/>
        <w:spacing w:line="360" w:lineRule="auto"/>
        <w:ind w:firstLine="480"/>
      </w:pPr>
      <w:r>
        <w:t>2）按修改意见执行；</w:t>
      </w:r>
    </w:p>
    <w:p w14:paraId="36924113">
      <w:pPr>
        <w:adjustRightInd w:val="0"/>
        <w:spacing w:line="360" w:lineRule="auto"/>
        <w:ind w:firstLine="480"/>
      </w:pPr>
      <w:r>
        <w:t>3）修改后重新提交；</w:t>
      </w:r>
    </w:p>
    <w:p w14:paraId="5A8B4136">
      <w:pPr>
        <w:adjustRightInd w:val="0"/>
        <w:spacing w:line="360" w:lineRule="auto"/>
        <w:ind w:firstLine="480"/>
      </w:pPr>
      <w:r>
        <w:t xml:space="preserve">4）不予批准。  </w:t>
      </w:r>
    </w:p>
    <w:p w14:paraId="0D467673">
      <w:pPr>
        <w:adjustRightInd w:val="0"/>
        <w:spacing w:line="360" w:lineRule="auto"/>
        <w:ind w:firstLine="480"/>
      </w:pPr>
      <w:r>
        <w:t>（2）</w:t>
      </w:r>
      <w:r>
        <w:rPr>
          <w:rFonts w:hint="eastAsia"/>
          <w:lang w:eastAsia="zh-CN"/>
        </w:rPr>
        <w:t>招标人</w:t>
      </w:r>
      <w:r>
        <w:t>对批复为“按修改意见执行”或“修改后重新提交”的文件和资料，</w:t>
      </w:r>
      <w:r>
        <w:rPr>
          <w:rFonts w:hint="eastAsia"/>
          <w:lang w:eastAsia="zh-CN"/>
        </w:rPr>
        <w:t>投标人</w:t>
      </w:r>
      <w:r>
        <w:t>在收到批复件后</w:t>
      </w:r>
      <w:r>
        <w:rPr>
          <w:u w:val="single"/>
        </w:rPr>
        <w:t xml:space="preserve">  7  </w:t>
      </w:r>
      <w:r>
        <w:t>天内作出相应修改，重新提交</w:t>
      </w:r>
      <w:r>
        <w:rPr>
          <w:rFonts w:hint="eastAsia"/>
          <w:lang w:eastAsia="zh-CN"/>
        </w:rPr>
        <w:t>招标人</w:t>
      </w:r>
      <w:r>
        <w:t>批复。重新提交的文件应附所有审批意见及会议纪要审查意见（经会议评审的）的修改落实情况，并经</w:t>
      </w:r>
      <w:r>
        <w:rPr>
          <w:rFonts w:hint="eastAsia"/>
          <w:lang w:eastAsia="zh-CN"/>
        </w:rPr>
        <w:t>投标人</w:t>
      </w:r>
      <w:r>
        <w:t>项目经理签字确认，</w:t>
      </w:r>
      <w:r>
        <w:rPr>
          <w:rFonts w:hint="eastAsia"/>
          <w:lang w:eastAsia="zh-CN"/>
        </w:rPr>
        <w:t>招标人</w:t>
      </w:r>
      <w:r>
        <w:t>对重新提交的文件和资料审批后，发还给</w:t>
      </w:r>
      <w:r>
        <w:rPr>
          <w:rFonts w:hint="eastAsia"/>
          <w:lang w:eastAsia="zh-CN"/>
        </w:rPr>
        <w:t>投标人</w:t>
      </w:r>
      <w:r>
        <w:t>执行。</w:t>
      </w:r>
    </w:p>
    <w:p w14:paraId="48E78106">
      <w:pPr>
        <w:adjustRightInd w:val="0"/>
        <w:spacing w:line="360" w:lineRule="auto"/>
        <w:ind w:firstLine="480"/>
      </w:pPr>
      <w:r>
        <w:t>（3）凡合同约定由</w:t>
      </w:r>
      <w:r>
        <w:rPr>
          <w:rFonts w:hint="eastAsia"/>
          <w:lang w:eastAsia="zh-CN"/>
        </w:rPr>
        <w:t>投标人</w:t>
      </w:r>
      <w:r>
        <w:t>提交</w:t>
      </w:r>
      <w:r>
        <w:rPr>
          <w:rFonts w:hint="eastAsia"/>
          <w:lang w:eastAsia="zh-CN"/>
        </w:rPr>
        <w:t>招标人</w:t>
      </w:r>
      <w:r>
        <w:t>批准的图纸和文件，必须由项目经理或其授权代表签名，否则均属无效。凡未经</w:t>
      </w:r>
      <w:r>
        <w:rPr>
          <w:rFonts w:hint="eastAsia"/>
          <w:lang w:eastAsia="zh-CN"/>
        </w:rPr>
        <w:t>招标人</w:t>
      </w:r>
      <w:r>
        <w:t>按上述第1款规定签署的图纸和文件，均属无效。</w:t>
      </w:r>
    </w:p>
    <w:p w14:paraId="3D255847">
      <w:pPr>
        <w:numPr>
          <w:ilvl w:val="1"/>
          <w:numId w:val="1"/>
        </w:numPr>
        <w:adjustRightInd w:val="0"/>
        <w:spacing w:line="360" w:lineRule="auto"/>
        <w:ind w:left="0" w:firstLine="480"/>
        <w:outlineLvl w:val="1"/>
      </w:pPr>
      <w:bookmarkStart w:id="91" w:name="_Toc9977"/>
      <w:bookmarkStart w:id="92" w:name="_Toc393441011"/>
      <w:r>
        <w:t xml:space="preserve"> </w:t>
      </w:r>
      <w:bookmarkStart w:id="93" w:name="_Toc190958862"/>
      <w:bookmarkStart w:id="94" w:name="_Toc24989"/>
      <w:bookmarkStart w:id="95" w:name="_Toc19233"/>
      <w:bookmarkStart w:id="96" w:name="_Toc8534"/>
      <w:bookmarkStart w:id="97" w:name="_Toc8353"/>
      <w:bookmarkStart w:id="98" w:name="_Toc2711"/>
      <w:r>
        <w:rPr>
          <w:rFonts w:hint="eastAsia"/>
          <w:lang w:eastAsia="zh-CN"/>
        </w:rPr>
        <w:t>招标人</w:t>
      </w:r>
      <w:r>
        <w:t>提供的材料和工程设备</w:t>
      </w:r>
      <w:bookmarkEnd w:id="91"/>
      <w:bookmarkEnd w:id="92"/>
      <w:bookmarkEnd w:id="93"/>
      <w:bookmarkEnd w:id="94"/>
      <w:bookmarkEnd w:id="95"/>
      <w:bookmarkEnd w:id="96"/>
      <w:bookmarkEnd w:id="97"/>
      <w:bookmarkEnd w:id="98"/>
    </w:p>
    <w:p w14:paraId="32F2E03D">
      <w:pPr>
        <w:adjustRightInd w:val="0"/>
        <w:spacing w:line="360" w:lineRule="auto"/>
        <w:ind w:firstLine="480"/>
      </w:pPr>
      <w:r>
        <w:t>（1）材料供应计划</w:t>
      </w:r>
    </w:p>
    <w:p w14:paraId="1CADE25F">
      <w:pPr>
        <w:adjustRightInd w:val="0"/>
        <w:spacing w:line="360" w:lineRule="auto"/>
        <w:ind w:firstLine="480"/>
      </w:pPr>
      <w:r>
        <w:rPr>
          <w:rFonts w:hint="eastAsia"/>
          <w:lang w:eastAsia="zh-CN"/>
        </w:rPr>
        <w:t>投标人</w:t>
      </w:r>
      <w:r>
        <w:t>应根据经</w:t>
      </w:r>
      <w:r>
        <w:rPr>
          <w:rFonts w:hint="eastAsia"/>
          <w:lang w:eastAsia="zh-CN"/>
        </w:rPr>
        <w:t>招标人</w:t>
      </w:r>
      <w:r>
        <w:t>批准的进度计划编制一份</w:t>
      </w:r>
      <w:r>
        <w:rPr>
          <w:rFonts w:hint="eastAsia"/>
          <w:lang w:eastAsia="zh-CN"/>
        </w:rPr>
        <w:t>招标人</w:t>
      </w:r>
      <w:r>
        <w:t>负责供应材料的需用计划，提交</w:t>
      </w:r>
      <w:r>
        <w:rPr>
          <w:rFonts w:hint="eastAsia"/>
          <w:lang w:eastAsia="zh-CN"/>
        </w:rPr>
        <w:t>招标人</w:t>
      </w:r>
      <w:r>
        <w:t>审批。</w:t>
      </w:r>
    </w:p>
    <w:p w14:paraId="60F17F05">
      <w:pPr>
        <w:adjustRightInd w:val="0"/>
        <w:spacing w:line="360" w:lineRule="auto"/>
        <w:ind w:firstLine="480"/>
      </w:pPr>
      <w:r>
        <w:t>（2）材料交货验收</w:t>
      </w:r>
    </w:p>
    <w:p w14:paraId="5F776606">
      <w:pPr>
        <w:adjustRightInd w:val="0"/>
        <w:spacing w:line="360" w:lineRule="auto"/>
        <w:ind w:firstLine="480"/>
      </w:pPr>
      <w:r>
        <w:rPr>
          <w:rFonts w:hint="eastAsia"/>
          <w:lang w:eastAsia="zh-CN"/>
        </w:rPr>
        <w:t>投标人</w:t>
      </w:r>
      <w:r>
        <w:t>应按本合同约定，对</w:t>
      </w:r>
      <w:r>
        <w:rPr>
          <w:rFonts w:hint="eastAsia"/>
          <w:lang w:eastAsia="zh-CN"/>
        </w:rPr>
        <w:t>招标人</w:t>
      </w:r>
      <w:r>
        <w:t>供应的材料质量、数量和品种进行检查、检验和验收，并及时将材料的检验结果提交</w:t>
      </w:r>
      <w:r>
        <w:rPr>
          <w:rFonts w:hint="eastAsia"/>
          <w:lang w:eastAsia="zh-CN"/>
        </w:rPr>
        <w:t>招标人</w:t>
      </w:r>
      <w:r>
        <w:t>。若材料质量不合格，</w:t>
      </w:r>
      <w:r>
        <w:rPr>
          <w:rFonts w:hint="eastAsia"/>
          <w:lang w:eastAsia="zh-CN"/>
        </w:rPr>
        <w:t>投标人</w:t>
      </w:r>
      <w:r>
        <w:t>有权拒绝使用，但必须向</w:t>
      </w:r>
      <w:r>
        <w:rPr>
          <w:rFonts w:hint="eastAsia"/>
          <w:lang w:eastAsia="zh-CN"/>
        </w:rPr>
        <w:t>招标人</w:t>
      </w:r>
      <w:r>
        <w:t>提供能证明材料不合格的试验和检验报告。如因</w:t>
      </w:r>
      <w:r>
        <w:rPr>
          <w:rFonts w:hint="eastAsia"/>
          <w:lang w:eastAsia="zh-CN"/>
        </w:rPr>
        <w:t>投标人</w:t>
      </w:r>
      <w:r>
        <w:t>原因引起的材料滞库，相关费用应由</w:t>
      </w:r>
      <w:r>
        <w:rPr>
          <w:rFonts w:hint="eastAsia"/>
          <w:lang w:eastAsia="zh-CN"/>
        </w:rPr>
        <w:t>投标人</w:t>
      </w:r>
      <w:r>
        <w:t>承担。</w:t>
      </w:r>
    </w:p>
    <w:p w14:paraId="0E10207F">
      <w:pPr>
        <w:numPr>
          <w:ilvl w:val="1"/>
          <w:numId w:val="1"/>
        </w:numPr>
        <w:adjustRightInd w:val="0"/>
        <w:spacing w:line="360" w:lineRule="auto"/>
        <w:ind w:left="0" w:firstLine="480"/>
        <w:outlineLvl w:val="1"/>
      </w:pPr>
      <w:bookmarkStart w:id="99" w:name="_Toc393441012"/>
      <w:bookmarkStart w:id="100" w:name="_Toc28758"/>
      <w:r>
        <w:t xml:space="preserve"> </w:t>
      </w:r>
      <w:bookmarkStart w:id="101" w:name="_Toc23787"/>
      <w:bookmarkStart w:id="102" w:name="_Toc32107"/>
      <w:bookmarkStart w:id="103" w:name="_Toc6457"/>
      <w:bookmarkStart w:id="104" w:name="_Toc28132"/>
      <w:bookmarkStart w:id="105" w:name="_Toc190958863"/>
      <w:bookmarkStart w:id="106" w:name="_Toc23837"/>
      <w:r>
        <w:rPr>
          <w:rFonts w:hint="eastAsia"/>
          <w:lang w:eastAsia="zh-CN"/>
        </w:rPr>
        <w:t>投标人</w:t>
      </w:r>
      <w:r>
        <w:t>提供的材料</w:t>
      </w:r>
      <w:bookmarkEnd w:id="99"/>
      <w:bookmarkEnd w:id="100"/>
      <w:bookmarkEnd w:id="101"/>
      <w:bookmarkEnd w:id="102"/>
      <w:bookmarkEnd w:id="103"/>
      <w:bookmarkEnd w:id="104"/>
      <w:bookmarkEnd w:id="105"/>
      <w:bookmarkEnd w:id="106"/>
      <w:r>
        <w:t xml:space="preserve">   </w:t>
      </w:r>
    </w:p>
    <w:p w14:paraId="6291F6F1">
      <w:pPr>
        <w:tabs>
          <w:tab w:val="left" w:pos="0"/>
          <w:tab w:val="left" w:pos="397"/>
        </w:tabs>
        <w:adjustRightInd w:val="0"/>
        <w:spacing w:line="360" w:lineRule="auto"/>
        <w:ind w:firstLine="480"/>
        <w:outlineLvl w:val="2"/>
      </w:pPr>
      <w:bookmarkStart w:id="107" w:name="_Toc2919"/>
      <w:bookmarkStart w:id="108" w:name="_Toc190958864"/>
      <w:bookmarkStart w:id="109" w:name="_Toc28033"/>
      <w:bookmarkStart w:id="110" w:name="_Toc31440"/>
      <w:bookmarkStart w:id="111" w:name="_Toc3811"/>
      <w:bookmarkStart w:id="112" w:name="_Toc14633"/>
      <w:bookmarkStart w:id="113" w:name="_Toc32606"/>
      <w:r>
        <w:t xml:space="preserve">1.6.1  </w:t>
      </w:r>
      <w:r>
        <w:rPr>
          <w:rFonts w:hint="eastAsia"/>
          <w:lang w:eastAsia="zh-CN"/>
        </w:rPr>
        <w:t>投标人</w:t>
      </w:r>
      <w:r>
        <w:t>提供的材料</w:t>
      </w:r>
      <w:bookmarkEnd w:id="107"/>
      <w:bookmarkEnd w:id="108"/>
      <w:bookmarkEnd w:id="109"/>
      <w:bookmarkEnd w:id="110"/>
      <w:bookmarkEnd w:id="111"/>
      <w:bookmarkEnd w:id="112"/>
      <w:bookmarkEnd w:id="113"/>
    </w:p>
    <w:p w14:paraId="36C70680">
      <w:pPr>
        <w:adjustRightInd w:val="0"/>
        <w:spacing w:line="360" w:lineRule="auto"/>
        <w:ind w:firstLine="480"/>
      </w:pPr>
      <w:r>
        <w:t>（1）</w:t>
      </w:r>
      <w:r>
        <w:rPr>
          <w:rFonts w:hint="eastAsia"/>
          <w:lang w:eastAsia="zh-CN"/>
        </w:rPr>
        <w:t>投标人</w:t>
      </w:r>
      <w:r>
        <w:t>提供的材料应由</w:t>
      </w:r>
      <w:r>
        <w:rPr>
          <w:rFonts w:hint="eastAsia"/>
          <w:lang w:eastAsia="zh-CN"/>
        </w:rPr>
        <w:t>招标人</w:t>
      </w:r>
      <w:r>
        <w:t>按以下程序进行检查和验收：</w:t>
      </w:r>
    </w:p>
    <w:p w14:paraId="22A49A47">
      <w:pPr>
        <w:adjustRightInd w:val="0"/>
        <w:spacing w:line="360" w:lineRule="auto"/>
        <w:ind w:firstLine="480"/>
      </w:pPr>
      <w:r>
        <w:t>1）查验证件：</w:t>
      </w:r>
      <w:r>
        <w:rPr>
          <w:rFonts w:hint="eastAsia"/>
          <w:lang w:eastAsia="zh-CN"/>
        </w:rPr>
        <w:t>投标人</w:t>
      </w:r>
      <w:r>
        <w:t>应按供货合同的要求查验每批材料的发货单、计量单、装箱材料的合格证书、化验单以及其它有关图纸、文件和证件，并应将上述图纸，以及文件、证件的复印件提交</w:t>
      </w:r>
      <w:r>
        <w:rPr>
          <w:rFonts w:hint="eastAsia"/>
          <w:lang w:eastAsia="zh-CN"/>
        </w:rPr>
        <w:t>招标人</w:t>
      </w:r>
      <w:r>
        <w:t>；</w:t>
      </w:r>
    </w:p>
    <w:p w14:paraId="67B08F8F">
      <w:pPr>
        <w:adjustRightInd w:val="0"/>
        <w:spacing w:line="360" w:lineRule="auto"/>
        <w:ind w:firstLine="480"/>
      </w:pPr>
      <w:r>
        <w:t>2）抽样检验：</w:t>
      </w:r>
      <w:r>
        <w:rPr>
          <w:rFonts w:hint="eastAsia"/>
          <w:lang w:eastAsia="zh-CN"/>
        </w:rPr>
        <w:t>投标人</w:t>
      </w:r>
      <w:r>
        <w:t>应会同</w:t>
      </w:r>
      <w:r>
        <w:rPr>
          <w:rFonts w:hint="eastAsia"/>
          <w:lang w:eastAsia="zh-CN"/>
        </w:rPr>
        <w:t>招标人</w:t>
      </w:r>
      <w:r>
        <w:t>按本合同约定和技术条款各章的有关规定进行材料抽样检验，并对每批材料是否合格作出鉴定，检验结果应提交</w:t>
      </w:r>
      <w:r>
        <w:rPr>
          <w:rFonts w:hint="eastAsia"/>
          <w:lang w:eastAsia="zh-CN"/>
        </w:rPr>
        <w:t>招标人</w:t>
      </w:r>
      <w:r>
        <w:t>。</w:t>
      </w:r>
      <w:r>
        <w:rPr>
          <w:rFonts w:hint="eastAsia"/>
          <w:lang w:eastAsia="zh-CN"/>
        </w:rPr>
        <w:t>投标人</w:t>
      </w:r>
      <w:r>
        <w:t>有义务配合</w:t>
      </w:r>
      <w:r>
        <w:rPr>
          <w:rFonts w:hint="eastAsia"/>
          <w:lang w:eastAsia="zh-CN"/>
        </w:rPr>
        <w:t>招标人</w:t>
      </w:r>
      <w:r>
        <w:t>进行的平行检测和第三方进行的抽查。</w:t>
      </w:r>
    </w:p>
    <w:p w14:paraId="3869E177">
      <w:pPr>
        <w:adjustRightInd w:val="0"/>
        <w:spacing w:line="360" w:lineRule="auto"/>
        <w:ind w:firstLine="480"/>
      </w:pPr>
      <w:r>
        <w:t>3）材料验收：经鉴定合格的材料方能验收，</w:t>
      </w:r>
      <w:r>
        <w:rPr>
          <w:rFonts w:hint="eastAsia"/>
          <w:lang w:eastAsia="zh-CN"/>
        </w:rPr>
        <w:t>投标人</w:t>
      </w:r>
      <w:r>
        <w:t>应与</w:t>
      </w:r>
      <w:r>
        <w:rPr>
          <w:rFonts w:hint="eastAsia"/>
          <w:lang w:eastAsia="zh-CN"/>
        </w:rPr>
        <w:t>招标人</w:t>
      </w:r>
      <w:r>
        <w:t>共同核对每批材料的品名、规格、数量，并作好记录，共同验点入库。</w:t>
      </w:r>
    </w:p>
    <w:p w14:paraId="12BB8E1D">
      <w:pPr>
        <w:adjustRightInd w:val="0"/>
        <w:spacing w:line="360" w:lineRule="auto"/>
        <w:ind w:firstLine="480"/>
      </w:pPr>
      <w:r>
        <w:t>（2）不合格材料的处理</w:t>
      </w:r>
    </w:p>
    <w:p w14:paraId="1B60F5EA">
      <w:pPr>
        <w:adjustRightInd w:val="0"/>
        <w:spacing w:line="360" w:lineRule="auto"/>
        <w:ind w:firstLine="480"/>
      </w:pPr>
      <w:r>
        <w:t>经</w:t>
      </w:r>
      <w:r>
        <w:rPr>
          <w:rFonts w:hint="eastAsia"/>
          <w:lang w:eastAsia="zh-CN"/>
        </w:rPr>
        <w:t>招标人</w:t>
      </w:r>
      <w:r>
        <w:t>查库发现的不合格材料，应禁止使用，并清除出场，做好清场记录。</w:t>
      </w:r>
      <w:r>
        <w:rPr>
          <w:rFonts w:hint="eastAsia"/>
          <w:lang w:eastAsia="zh-CN"/>
        </w:rPr>
        <w:t>投标人</w:t>
      </w:r>
      <w:r>
        <w:t>违约使用了不合格材料，应按本合同约定予以清除或返工至合格为止。</w:t>
      </w:r>
    </w:p>
    <w:p w14:paraId="5A6C8AB5">
      <w:pPr>
        <w:tabs>
          <w:tab w:val="left" w:pos="0"/>
          <w:tab w:val="left" w:pos="397"/>
        </w:tabs>
        <w:adjustRightInd w:val="0"/>
        <w:spacing w:line="360" w:lineRule="auto"/>
        <w:ind w:firstLine="480"/>
        <w:outlineLvl w:val="2"/>
      </w:pPr>
      <w:bookmarkStart w:id="114" w:name="_Toc320"/>
      <w:bookmarkStart w:id="115" w:name="_Toc190958865"/>
      <w:bookmarkStart w:id="116" w:name="_Toc22128"/>
      <w:bookmarkStart w:id="117" w:name="_Toc32494"/>
      <w:bookmarkStart w:id="118" w:name="_Toc24980"/>
      <w:bookmarkStart w:id="119" w:name="_Toc18449"/>
      <w:bookmarkStart w:id="120" w:name="_Toc470"/>
      <w:r>
        <w:t xml:space="preserve">1.6.2 </w:t>
      </w:r>
      <w:r>
        <w:rPr>
          <w:rFonts w:hint="eastAsia"/>
          <w:lang w:eastAsia="zh-CN"/>
        </w:rPr>
        <w:t>投标人</w:t>
      </w:r>
      <w:r>
        <w:t>施工设备</w:t>
      </w:r>
      <w:bookmarkEnd w:id="114"/>
      <w:bookmarkEnd w:id="115"/>
      <w:bookmarkEnd w:id="116"/>
      <w:bookmarkEnd w:id="117"/>
      <w:bookmarkEnd w:id="118"/>
      <w:bookmarkEnd w:id="119"/>
      <w:bookmarkEnd w:id="120"/>
    </w:p>
    <w:p w14:paraId="052CF89A">
      <w:pPr>
        <w:adjustRightInd w:val="0"/>
        <w:spacing w:line="360" w:lineRule="auto"/>
        <w:ind w:firstLine="480"/>
      </w:pPr>
      <w:r>
        <w:t>（1）</w:t>
      </w:r>
      <w:r>
        <w:rPr>
          <w:rFonts w:hint="eastAsia"/>
          <w:lang w:eastAsia="zh-CN"/>
        </w:rPr>
        <w:t>投标人</w:t>
      </w:r>
      <w:r>
        <w:t>应在签署合同协议书后</w:t>
      </w:r>
      <w:r>
        <w:rPr>
          <w:u w:val="single"/>
        </w:rPr>
        <w:t xml:space="preserve">  7  </w:t>
      </w:r>
      <w:r>
        <w:t>天内，将本合同中各项工作所需的施工设备清单，提交</w:t>
      </w:r>
      <w:r>
        <w:rPr>
          <w:rFonts w:hint="eastAsia"/>
          <w:lang w:eastAsia="zh-CN"/>
        </w:rPr>
        <w:t>招标人</w:t>
      </w:r>
      <w:r>
        <w:t>批准。施工设备清单的内容应包括：</w:t>
      </w:r>
    </w:p>
    <w:p w14:paraId="4F3CE609">
      <w:pPr>
        <w:adjustRightInd w:val="0"/>
        <w:spacing w:line="360" w:lineRule="auto"/>
        <w:ind w:firstLine="480"/>
      </w:pPr>
      <w:r>
        <w:t>1）自有设备的购置时间、品名、型号、规格、主要性能、数量、设备检定合格证明和预计进场时间；</w:t>
      </w:r>
    </w:p>
    <w:p w14:paraId="66233222">
      <w:pPr>
        <w:adjustRightInd w:val="0"/>
        <w:spacing w:line="360" w:lineRule="auto"/>
        <w:ind w:firstLine="480"/>
      </w:pPr>
      <w:r>
        <w:t>2）租赁设备的购置时间、租赁期限、租赁价格、运行检修记录、设备检定合格证明以及维修保养证书等。</w:t>
      </w:r>
    </w:p>
    <w:p w14:paraId="2C476012">
      <w:pPr>
        <w:adjustRightInd w:val="0"/>
        <w:spacing w:line="360" w:lineRule="auto"/>
        <w:ind w:firstLine="480"/>
      </w:pPr>
      <w:r>
        <w:t>（2）</w:t>
      </w:r>
      <w:r>
        <w:rPr>
          <w:rFonts w:hint="eastAsia"/>
          <w:lang w:eastAsia="zh-CN"/>
        </w:rPr>
        <w:t>投标人</w:t>
      </w:r>
      <w:r>
        <w:t>配置的旧施工设备（包括租赁的旧设备），应由</w:t>
      </w:r>
      <w:r>
        <w:rPr>
          <w:rFonts w:hint="eastAsia"/>
          <w:lang w:eastAsia="zh-CN"/>
        </w:rPr>
        <w:t>招标人</w:t>
      </w:r>
      <w:r>
        <w:t>进行检查，并须进行试运行，确认其符合使用要求后方可投入使用。</w:t>
      </w:r>
    </w:p>
    <w:p w14:paraId="3A93E8E1">
      <w:pPr>
        <w:adjustRightInd w:val="0"/>
        <w:spacing w:line="360" w:lineRule="auto"/>
        <w:ind w:firstLine="480"/>
      </w:pPr>
      <w:r>
        <w:t>（3）</w:t>
      </w:r>
      <w:r>
        <w:rPr>
          <w:rFonts w:hint="eastAsia"/>
          <w:lang w:eastAsia="zh-CN"/>
        </w:rPr>
        <w:t>投标人</w:t>
      </w:r>
      <w:r>
        <w:t>施工设备进场后，</w:t>
      </w:r>
      <w:r>
        <w:rPr>
          <w:rFonts w:hint="eastAsia"/>
          <w:lang w:eastAsia="zh-CN"/>
        </w:rPr>
        <w:t>招标人</w:t>
      </w:r>
      <w:r>
        <w:t>应按</w:t>
      </w:r>
      <w:r>
        <w:rPr>
          <w:rFonts w:hint="eastAsia"/>
          <w:lang w:eastAsia="zh-CN"/>
        </w:rPr>
        <w:t>投标人</w:t>
      </w:r>
      <w:r>
        <w:t>提供的施工设备清单，仔细核查进场施工设备的数量、规格和性能是否符合施工进度计划和质量控制的要求，</w:t>
      </w:r>
      <w:r>
        <w:rPr>
          <w:rFonts w:hint="eastAsia"/>
          <w:lang w:eastAsia="zh-CN"/>
        </w:rPr>
        <w:t>招标人</w:t>
      </w:r>
      <w:r>
        <w:t>有权索取必要的施工设备资料，如发现进场的施工设备不能满足施工要求时，</w:t>
      </w:r>
      <w:r>
        <w:rPr>
          <w:rFonts w:hint="eastAsia"/>
          <w:lang w:eastAsia="zh-CN"/>
        </w:rPr>
        <w:t>招标人</w:t>
      </w:r>
      <w:r>
        <w:t>有权责令撤换。</w:t>
      </w:r>
    </w:p>
    <w:p w14:paraId="59EE7553">
      <w:pPr>
        <w:numPr>
          <w:ilvl w:val="1"/>
          <w:numId w:val="1"/>
        </w:numPr>
        <w:adjustRightInd w:val="0"/>
        <w:spacing w:line="360" w:lineRule="auto"/>
        <w:ind w:left="0" w:firstLine="480"/>
        <w:outlineLvl w:val="1"/>
      </w:pPr>
      <w:bookmarkStart w:id="121" w:name="_Toc393441013"/>
      <w:bookmarkStart w:id="122" w:name="_Toc32168"/>
      <w:r>
        <w:t xml:space="preserve"> </w:t>
      </w:r>
      <w:bookmarkStart w:id="123" w:name="_Toc31928"/>
      <w:bookmarkStart w:id="124" w:name="_Toc190958866"/>
      <w:bookmarkStart w:id="125" w:name="_Toc21782"/>
      <w:bookmarkStart w:id="126" w:name="_Toc22512"/>
      <w:bookmarkStart w:id="127" w:name="_Toc22105"/>
      <w:bookmarkStart w:id="128" w:name="_Toc4475"/>
      <w:r>
        <w:t>进度计划的实施</w:t>
      </w:r>
      <w:bookmarkEnd w:id="121"/>
      <w:bookmarkEnd w:id="122"/>
      <w:bookmarkEnd w:id="123"/>
      <w:bookmarkEnd w:id="124"/>
      <w:bookmarkEnd w:id="125"/>
      <w:bookmarkEnd w:id="126"/>
      <w:bookmarkEnd w:id="127"/>
      <w:bookmarkEnd w:id="128"/>
    </w:p>
    <w:p w14:paraId="11FF5834">
      <w:pPr>
        <w:tabs>
          <w:tab w:val="left" w:pos="0"/>
          <w:tab w:val="left" w:pos="397"/>
        </w:tabs>
        <w:adjustRightInd w:val="0"/>
        <w:spacing w:line="360" w:lineRule="auto"/>
        <w:ind w:firstLine="480"/>
        <w:outlineLvl w:val="2"/>
      </w:pPr>
      <w:bookmarkStart w:id="129" w:name="_Toc28202"/>
      <w:bookmarkStart w:id="130" w:name="_Toc23886"/>
      <w:bookmarkStart w:id="131" w:name="_Toc19313"/>
      <w:bookmarkStart w:id="132" w:name="_Toc17185"/>
      <w:bookmarkStart w:id="133" w:name="_Toc23234"/>
      <w:bookmarkStart w:id="134" w:name="_Toc190958867"/>
      <w:bookmarkStart w:id="135" w:name="_Toc15561"/>
      <w:r>
        <w:t>1.7.1  施工总进度实施措施</w:t>
      </w:r>
      <w:bookmarkEnd w:id="129"/>
      <w:bookmarkEnd w:id="130"/>
      <w:bookmarkEnd w:id="131"/>
      <w:bookmarkEnd w:id="132"/>
      <w:bookmarkEnd w:id="133"/>
      <w:bookmarkEnd w:id="134"/>
      <w:bookmarkEnd w:id="135"/>
    </w:p>
    <w:p w14:paraId="29A23CBE">
      <w:pPr>
        <w:adjustRightInd w:val="0"/>
        <w:spacing w:line="360" w:lineRule="auto"/>
        <w:ind w:firstLine="480"/>
      </w:pPr>
      <w:r>
        <w:rPr>
          <w:rFonts w:hint="eastAsia"/>
          <w:lang w:eastAsia="zh-CN"/>
        </w:rPr>
        <w:t>投标人</w:t>
      </w:r>
      <w:r>
        <w:t>应按要求批准的施工总进度实施计划，编制详细的施工总进度计划的实施措施，提交</w:t>
      </w:r>
      <w:r>
        <w:rPr>
          <w:rFonts w:hint="eastAsia"/>
          <w:lang w:eastAsia="zh-CN"/>
        </w:rPr>
        <w:t>招标人</w:t>
      </w:r>
      <w:r>
        <w:t>批准。实施措施应说明以下内容：</w:t>
      </w:r>
    </w:p>
    <w:p w14:paraId="71914E2D">
      <w:pPr>
        <w:adjustRightInd w:val="0"/>
        <w:spacing w:line="360" w:lineRule="auto"/>
        <w:ind w:firstLine="480"/>
      </w:pPr>
      <w:r>
        <w:t>（1）各永久工程和临时工程项目按期完成的月工程量计划和各年度形象面貌。</w:t>
      </w:r>
    </w:p>
    <w:p w14:paraId="3D6F1DB9">
      <w:pPr>
        <w:adjustRightInd w:val="0"/>
        <w:spacing w:line="360" w:lineRule="auto"/>
        <w:ind w:firstLine="480"/>
      </w:pPr>
      <w:r>
        <w:t>（2）主要物资材料使用计划及主要材料订货安排。</w:t>
      </w:r>
    </w:p>
    <w:p w14:paraId="6DB00D66">
      <w:pPr>
        <w:adjustRightInd w:val="0"/>
        <w:spacing w:line="360" w:lineRule="auto"/>
        <w:ind w:firstLine="480"/>
      </w:pPr>
      <w:r>
        <w:t>（3）施工现场各类人员配备和劳务计划。</w:t>
      </w:r>
    </w:p>
    <w:p w14:paraId="09F968F5">
      <w:pPr>
        <w:adjustRightInd w:val="0"/>
        <w:spacing w:line="360" w:lineRule="auto"/>
        <w:ind w:firstLine="480"/>
      </w:pPr>
      <w:r>
        <w:t>（5）其它说明。</w:t>
      </w:r>
    </w:p>
    <w:p w14:paraId="4841294B">
      <w:pPr>
        <w:tabs>
          <w:tab w:val="left" w:pos="0"/>
          <w:tab w:val="left" w:pos="397"/>
        </w:tabs>
        <w:adjustRightInd w:val="0"/>
        <w:spacing w:line="360" w:lineRule="auto"/>
        <w:ind w:firstLine="480"/>
        <w:outlineLvl w:val="2"/>
      </w:pPr>
      <w:bookmarkStart w:id="136" w:name="_Toc190958868"/>
      <w:bookmarkStart w:id="137" w:name="_Toc11473"/>
      <w:bookmarkStart w:id="138" w:name="_Toc17950"/>
      <w:bookmarkStart w:id="139" w:name="_Toc10122"/>
      <w:bookmarkStart w:id="140" w:name="_Toc11325"/>
      <w:bookmarkStart w:id="141" w:name="_Toc6615"/>
      <w:bookmarkStart w:id="142" w:name="_Toc24397"/>
      <w:r>
        <w:t>1.7.2  月进度计划</w:t>
      </w:r>
      <w:bookmarkEnd w:id="136"/>
      <w:bookmarkEnd w:id="137"/>
      <w:bookmarkEnd w:id="138"/>
      <w:bookmarkEnd w:id="139"/>
      <w:bookmarkEnd w:id="140"/>
      <w:bookmarkEnd w:id="141"/>
      <w:bookmarkEnd w:id="142"/>
      <w:r>
        <w:t xml:space="preserve">   </w:t>
      </w:r>
    </w:p>
    <w:p w14:paraId="1DB5ECD1">
      <w:pPr>
        <w:adjustRightInd w:val="0"/>
        <w:spacing w:line="360" w:lineRule="auto"/>
        <w:ind w:firstLine="480"/>
      </w:pPr>
      <w:r>
        <w:t>要求</w:t>
      </w:r>
      <w:r>
        <w:rPr>
          <w:rFonts w:hint="eastAsia"/>
          <w:lang w:eastAsia="zh-CN"/>
        </w:rPr>
        <w:t>投标人</w:t>
      </w:r>
      <w:r>
        <w:t>向</w:t>
      </w:r>
      <w:r>
        <w:rPr>
          <w:rFonts w:hint="eastAsia"/>
          <w:lang w:eastAsia="zh-CN"/>
        </w:rPr>
        <w:t>招标人</w:t>
      </w:r>
      <w:r>
        <w:t xml:space="preserve">提交季（有必要时）、月进度计划，其内容包括：   </w:t>
      </w:r>
    </w:p>
    <w:p w14:paraId="72188B68">
      <w:pPr>
        <w:adjustRightInd w:val="0"/>
        <w:spacing w:line="360" w:lineRule="auto"/>
        <w:ind w:firstLine="480"/>
      </w:pPr>
      <w:r>
        <w:t>（1）月工程量及其施工面貌。</w:t>
      </w:r>
    </w:p>
    <w:p w14:paraId="7585656C">
      <w:pPr>
        <w:adjustRightInd w:val="0"/>
        <w:spacing w:line="360" w:lineRule="auto"/>
        <w:ind w:firstLine="480"/>
      </w:pPr>
      <w:r>
        <w:t>（2）该月所需施工设备数量及材料用量。</w:t>
      </w:r>
    </w:p>
    <w:p w14:paraId="4E1B3132">
      <w:pPr>
        <w:adjustRightInd w:val="0"/>
        <w:spacing w:line="360" w:lineRule="auto"/>
        <w:ind w:firstLine="480"/>
      </w:pPr>
      <w:r>
        <w:t>（3）该月</w:t>
      </w:r>
      <w:r>
        <w:rPr>
          <w:rFonts w:hint="eastAsia"/>
          <w:lang w:eastAsia="zh-CN"/>
        </w:rPr>
        <w:t>招标人</w:t>
      </w:r>
      <w:r>
        <w:t>应提供的施工图纸目录等。</w:t>
      </w:r>
    </w:p>
    <w:p w14:paraId="1DBF1331">
      <w:pPr>
        <w:tabs>
          <w:tab w:val="left" w:pos="0"/>
          <w:tab w:val="left" w:pos="397"/>
        </w:tabs>
        <w:adjustRightInd w:val="0"/>
        <w:spacing w:line="360" w:lineRule="auto"/>
        <w:ind w:firstLine="480"/>
        <w:outlineLvl w:val="2"/>
      </w:pPr>
      <w:bookmarkStart w:id="143" w:name="_Toc3666"/>
      <w:bookmarkStart w:id="144" w:name="_Toc1321"/>
      <w:bookmarkStart w:id="145" w:name="_Toc24293"/>
      <w:bookmarkStart w:id="146" w:name="_Toc16081"/>
      <w:bookmarkStart w:id="147" w:name="_Toc190958869"/>
      <w:bookmarkStart w:id="148" w:name="_Toc7732"/>
      <w:bookmarkStart w:id="149" w:name="_Toc25539"/>
      <w:r>
        <w:t>1.7.3  月、周进度报告</w:t>
      </w:r>
      <w:bookmarkEnd w:id="143"/>
      <w:bookmarkEnd w:id="144"/>
      <w:bookmarkEnd w:id="145"/>
      <w:bookmarkEnd w:id="146"/>
      <w:bookmarkEnd w:id="147"/>
      <w:bookmarkEnd w:id="148"/>
      <w:bookmarkEnd w:id="149"/>
    </w:p>
    <w:p w14:paraId="353ADE97">
      <w:pPr>
        <w:adjustRightInd w:val="0"/>
        <w:spacing w:line="360" w:lineRule="auto"/>
        <w:ind w:firstLine="480"/>
      </w:pPr>
      <w:bookmarkStart w:id="150" w:name="_Toc391284127"/>
      <w:r>
        <w:t>（1）</w:t>
      </w:r>
      <w:r>
        <w:rPr>
          <w:rFonts w:hint="eastAsia"/>
          <w:lang w:eastAsia="zh-CN"/>
        </w:rPr>
        <w:t>投标人</w:t>
      </w:r>
      <w:r>
        <w:t>应在每月底按批准的格式，向</w:t>
      </w:r>
      <w:r>
        <w:rPr>
          <w:rFonts w:hint="eastAsia"/>
          <w:lang w:eastAsia="zh-CN"/>
        </w:rPr>
        <w:t>招标人</w:t>
      </w:r>
      <w:r>
        <w:t>提交月进度实施报告，其内容包括：</w:t>
      </w:r>
      <w:bookmarkEnd w:id="150"/>
    </w:p>
    <w:p w14:paraId="0BE7CDFC">
      <w:pPr>
        <w:adjustRightInd w:val="0"/>
        <w:spacing w:line="360" w:lineRule="auto"/>
        <w:ind w:firstLine="480"/>
      </w:pPr>
      <w:r>
        <w:t>1）月完成工程量和累计完成工程量（包括永久工程和临时工程）；</w:t>
      </w:r>
    </w:p>
    <w:p w14:paraId="6622489E">
      <w:pPr>
        <w:adjustRightInd w:val="0"/>
        <w:spacing w:line="360" w:lineRule="auto"/>
        <w:ind w:firstLine="480"/>
      </w:pPr>
      <w:r>
        <w:t>2）月完成的工程面貌图；</w:t>
      </w:r>
    </w:p>
    <w:p w14:paraId="60DEE207">
      <w:pPr>
        <w:adjustRightInd w:val="0"/>
        <w:spacing w:line="360" w:lineRule="auto"/>
        <w:ind w:firstLine="480"/>
      </w:pPr>
      <w:r>
        <w:t>3）材料实际进货、消耗和库存量；</w:t>
      </w:r>
    </w:p>
    <w:p w14:paraId="1C6710E2">
      <w:pPr>
        <w:adjustRightInd w:val="0"/>
        <w:spacing w:line="360" w:lineRule="auto"/>
        <w:ind w:firstLine="480"/>
      </w:pPr>
      <w:r>
        <w:t>4）现场施工设备的投运数量和运行状况；</w:t>
      </w:r>
    </w:p>
    <w:p w14:paraId="2E07AA67">
      <w:pPr>
        <w:adjustRightInd w:val="0"/>
        <w:spacing w:line="360" w:lineRule="auto"/>
        <w:ind w:firstLine="480"/>
      </w:pPr>
      <w:r>
        <w:t>5）工程设备的到货情况；</w:t>
      </w:r>
    </w:p>
    <w:p w14:paraId="23160E23">
      <w:pPr>
        <w:adjustRightInd w:val="0"/>
        <w:spacing w:line="360" w:lineRule="auto"/>
        <w:ind w:firstLine="480"/>
      </w:pPr>
      <w:r>
        <w:t>6）劳动力数量（本月及预计未来3个月劳动力的数量）；</w:t>
      </w:r>
    </w:p>
    <w:p w14:paraId="12D5A919">
      <w:pPr>
        <w:adjustRightInd w:val="0"/>
        <w:spacing w:line="360" w:lineRule="auto"/>
        <w:ind w:firstLine="480"/>
      </w:pPr>
      <w:r>
        <w:t>7）当前影响施工进度计划的因素和采取的改进措施；</w:t>
      </w:r>
    </w:p>
    <w:p w14:paraId="2603B4CB">
      <w:pPr>
        <w:adjustRightInd w:val="0"/>
        <w:spacing w:line="360" w:lineRule="auto"/>
        <w:ind w:firstLine="480"/>
      </w:pPr>
      <w:r>
        <w:t>8）质量事故和质量缺陷处理纪录，质量状况评价；</w:t>
      </w:r>
    </w:p>
    <w:p w14:paraId="5904778E">
      <w:pPr>
        <w:adjustRightInd w:val="0"/>
        <w:spacing w:line="360" w:lineRule="auto"/>
        <w:ind w:firstLine="480"/>
      </w:pPr>
      <w:r>
        <w:t>9）安全施工措施实施情况（包括安全事故处理情况）；</w:t>
      </w:r>
    </w:p>
    <w:p w14:paraId="3545B874">
      <w:pPr>
        <w:adjustRightInd w:val="0"/>
        <w:spacing w:line="360" w:lineRule="auto"/>
        <w:ind w:firstLine="480"/>
      </w:pPr>
      <w:r>
        <w:t>月进度报告应附有一组充分显示工程施工面貌与实际进度相对应的定点摄影照片。</w:t>
      </w:r>
    </w:p>
    <w:p w14:paraId="0C28A741">
      <w:pPr>
        <w:adjustRightInd w:val="0"/>
        <w:spacing w:line="360" w:lineRule="auto"/>
        <w:ind w:firstLine="480"/>
      </w:pPr>
      <w:r>
        <w:t>（2）</w:t>
      </w:r>
      <w:r>
        <w:rPr>
          <w:rFonts w:hint="eastAsia"/>
          <w:lang w:eastAsia="zh-CN"/>
        </w:rPr>
        <w:t>投标人</w:t>
      </w:r>
      <w:r>
        <w:t>应在每周（有必要时）进度会议上按批准的格式，向</w:t>
      </w:r>
      <w:r>
        <w:rPr>
          <w:rFonts w:hint="eastAsia"/>
          <w:lang w:eastAsia="zh-CN"/>
        </w:rPr>
        <w:t>招标人</w:t>
      </w:r>
      <w:r>
        <w:t>提交周进度报表，其内容包括：</w:t>
      </w:r>
    </w:p>
    <w:p w14:paraId="7C505C59">
      <w:pPr>
        <w:adjustRightInd w:val="0"/>
        <w:spacing w:line="360" w:lineRule="auto"/>
        <w:ind w:firstLine="480"/>
      </w:pPr>
      <w:r>
        <w:t>1）上周之前合同进度计划要求和实际完成工程量和累计完成工程量统计；</w:t>
      </w:r>
    </w:p>
    <w:p w14:paraId="3C73D8EE">
      <w:pPr>
        <w:adjustRightInd w:val="0"/>
        <w:spacing w:line="360" w:lineRule="auto"/>
        <w:ind w:firstLine="480"/>
      </w:pPr>
      <w:r>
        <w:t>2）上周实际完成工程量统计；</w:t>
      </w:r>
    </w:p>
    <w:p w14:paraId="0793F18E">
      <w:pPr>
        <w:adjustRightInd w:val="0"/>
        <w:spacing w:line="360" w:lineRule="auto"/>
        <w:ind w:firstLine="480"/>
      </w:pPr>
      <w:r>
        <w:t>3）下周计划完成的工程量；</w:t>
      </w:r>
    </w:p>
    <w:p w14:paraId="7ED05753">
      <w:pPr>
        <w:adjustRightInd w:val="0"/>
        <w:spacing w:line="360" w:lineRule="auto"/>
        <w:ind w:firstLine="480"/>
      </w:pPr>
      <w:r>
        <w:t>4）要求</w:t>
      </w:r>
      <w:r>
        <w:rPr>
          <w:rFonts w:hint="eastAsia"/>
          <w:lang w:eastAsia="zh-CN"/>
        </w:rPr>
        <w:t>招标人</w:t>
      </w:r>
      <w:r>
        <w:t>协调解决的主要问题。</w:t>
      </w:r>
    </w:p>
    <w:p w14:paraId="6FBD5060">
      <w:pPr>
        <w:tabs>
          <w:tab w:val="left" w:pos="0"/>
          <w:tab w:val="left" w:pos="397"/>
        </w:tabs>
        <w:adjustRightInd w:val="0"/>
        <w:spacing w:line="360" w:lineRule="auto"/>
        <w:ind w:firstLine="480"/>
        <w:outlineLvl w:val="2"/>
      </w:pPr>
      <w:bookmarkStart w:id="151" w:name="_Toc3931"/>
      <w:bookmarkStart w:id="152" w:name="_Toc21296"/>
      <w:bookmarkStart w:id="153" w:name="_Toc17055"/>
      <w:bookmarkStart w:id="154" w:name="_Toc30229"/>
      <w:bookmarkStart w:id="155" w:name="_Toc22923"/>
      <w:bookmarkStart w:id="156" w:name="_Toc190958870"/>
      <w:r>
        <w:t>1.7.4 进度会议</w:t>
      </w:r>
      <w:bookmarkEnd w:id="151"/>
      <w:bookmarkEnd w:id="152"/>
      <w:bookmarkEnd w:id="153"/>
      <w:bookmarkEnd w:id="154"/>
      <w:bookmarkEnd w:id="155"/>
      <w:bookmarkEnd w:id="156"/>
    </w:p>
    <w:p w14:paraId="4B2B5B27">
      <w:pPr>
        <w:adjustRightInd w:val="0"/>
        <w:spacing w:line="360" w:lineRule="auto"/>
        <w:ind w:firstLine="480"/>
      </w:pPr>
      <w:r>
        <w:t>（1）</w:t>
      </w:r>
      <w:r>
        <w:rPr>
          <w:rFonts w:hint="eastAsia"/>
          <w:lang w:eastAsia="zh-CN"/>
        </w:rPr>
        <w:t>招标人</w:t>
      </w:r>
      <w:r>
        <w:t>应在每周的某一日和每月末定期召开周、月进度会议，检查</w:t>
      </w:r>
      <w:r>
        <w:rPr>
          <w:rFonts w:hint="eastAsia"/>
          <w:lang w:eastAsia="zh-CN"/>
        </w:rPr>
        <w:t>投标人</w:t>
      </w:r>
      <w:r>
        <w:t>合同进度计划的执行情况，协调解决工程施工中发生的工程变更、质量缺陷处理等问题，以及与其它</w:t>
      </w:r>
      <w:r>
        <w:rPr>
          <w:rFonts w:hint="eastAsia"/>
          <w:lang w:eastAsia="zh-CN"/>
        </w:rPr>
        <w:t>投标人</w:t>
      </w:r>
      <w:r>
        <w:t>的相互干扰和矛盾。</w:t>
      </w:r>
    </w:p>
    <w:p w14:paraId="28954154">
      <w:pPr>
        <w:adjustRightInd w:val="0"/>
        <w:spacing w:line="360" w:lineRule="auto"/>
        <w:ind w:firstLine="480"/>
      </w:pPr>
      <w:r>
        <w:t>（2）</w:t>
      </w:r>
      <w:r>
        <w:rPr>
          <w:rFonts w:hint="eastAsia"/>
          <w:lang w:eastAsia="zh-CN"/>
        </w:rPr>
        <w:t>投标人</w:t>
      </w:r>
      <w:r>
        <w:t xml:space="preserve">应在每周、月进度会议上按规定的格式提交周、月进度报表。    </w:t>
      </w:r>
    </w:p>
    <w:p w14:paraId="036F1142">
      <w:pPr>
        <w:numPr>
          <w:ilvl w:val="1"/>
          <w:numId w:val="1"/>
        </w:numPr>
        <w:adjustRightInd w:val="0"/>
        <w:spacing w:line="360" w:lineRule="auto"/>
        <w:ind w:left="0" w:firstLine="480"/>
        <w:outlineLvl w:val="1"/>
      </w:pPr>
      <w:bookmarkStart w:id="157" w:name="_Toc393441014"/>
      <w:bookmarkStart w:id="158" w:name="_Toc28007"/>
      <w:r>
        <w:t xml:space="preserve"> </w:t>
      </w:r>
      <w:bookmarkStart w:id="159" w:name="_Toc190958871"/>
      <w:bookmarkStart w:id="160" w:name="_Toc22566"/>
      <w:bookmarkStart w:id="161" w:name="_Toc4713"/>
      <w:bookmarkStart w:id="162" w:name="_Toc31247"/>
      <w:bookmarkStart w:id="163" w:name="_Toc28399"/>
      <w:bookmarkStart w:id="164" w:name="_Toc26240"/>
      <w:r>
        <w:t>工程质量的检查、检验和验收</w:t>
      </w:r>
      <w:bookmarkEnd w:id="157"/>
      <w:bookmarkEnd w:id="158"/>
      <w:bookmarkEnd w:id="159"/>
      <w:bookmarkEnd w:id="160"/>
      <w:bookmarkEnd w:id="161"/>
      <w:bookmarkEnd w:id="162"/>
      <w:bookmarkEnd w:id="163"/>
      <w:bookmarkEnd w:id="164"/>
    </w:p>
    <w:p w14:paraId="10DC625F">
      <w:pPr>
        <w:tabs>
          <w:tab w:val="left" w:pos="0"/>
          <w:tab w:val="left" w:pos="397"/>
        </w:tabs>
        <w:adjustRightInd w:val="0"/>
        <w:spacing w:line="360" w:lineRule="auto"/>
        <w:ind w:firstLine="480"/>
        <w:outlineLvl w:val="2"/>
      </w:pPr>
      <w:bookmarkStart w:id="165" w:name="_Toc190958872"/>
      <w:bookmarkStart w:id="166" w:name="_Toc14121"/>
      <w:bookmarkStart w:id="167" w:name="_Toc5838"/>
      <w:bookmarkStart w:id="168" w:name="_Toc5764"/>
      <w:bookmarkStart w:id="169" w:name="_Toc27300"/>
      <w:bookmarkStart w:id="170" w:name="_Toc16719"/>
      <w:bookmarkStart w:id="171" w:name="_Toc20531"/>
      <w:r>
        <w:t xml:space="preserve">1.8.1  </w:t>
      </w:r>
      <w:r>
        <w:rPr>
          <w:rFonts w:hint="eastAsia"/>
          <w:lang w:eastAsia="zh-CN"/>
        </w:rPr>
        <w:t>投标人</w:t>
      </w:r>
      <w:r>
        <w:t>的质量自检</w:t>
      </w:r>
      <w:bookmarkEnd w:id="165"/>
      <w:bookmarkEnd w:id="166"/>
      <w:bookmarkEnd w:id="167"/>
      <w:bookmarkEnd w:id="168"/>
      <w:bookmarkEnd w:id="169"/>
      <w:bookmarkEnd w:id="170"/>
      <w:bookmarkEnd w:id="171"/>
    </w:p>
    <w:p w14:paraId="27D6D81E">
      <w:pPr>
        <w:adjustRightInd w:val="0"/>
        <w:spacing w:line="360" w:lineRule="auto"/>
        <w:ind w:firstLine="480"/>
      </w:pPr>
      <w:r>
        <w:t>（1）</w:t>
      </w:r>
      <w:r>
        <w:rPr>
          <w:rFonts w:hint="eastAsia"/>
          <w:lang w:eastAsia="zh-CN"/>
        </w:rPr>
        <w:t>投标人</w:t>
      </w:r>
      <w:r>
        <w:t>应在收到开工通知后的</w:t>
      </w:r>
      <w:r>
        <w:rPr>
          <w:u w:val="single"/>
        </w:rPr>
        <w:t xml:space="preserve">  3  </w:t>
      </w:r>
      <w:r>
        <w:t>天内，向</w:t>
      </w:r>
      <w:r>
        <w:rPr>
          <w:rFonts w:hint="eastAsia"/>
          <w:lang w:eastAsia="zh-CN"/>
        </w:rPr>
        <w:t>招标人</w:t>
      </w:r>
      <w:r>
        <w:t>提交本工程质量保证措施文件，其内容包括：</w:t>
      </w:r>
    </w:p>
    <w:p w14:paraId="46048BC5">
      <w:pPr>
        <w:adjustRightInd w:val="0"/>
        <w:spacing w:line="360" w:lineRule="auto"/>
        <w:ind w:firstLine="480"/>
      </w:pPr>
      <w:r>
        <w:t>1）质量检查机构的组织框</w:t>
      </w:r>
      <w:r>
        <w:rPr>
          <w:rFonts w:hint="eastAsia"/>
          <w:lang w:val="en-US" w:eastAsia="zh-CN"/>
        </w:rPr>
        <w:t>架</w:t>
      </w:r>
      <w:r>
        <w:t>图；</w:t>
      </w:r>
    </w:p>
    <w:p w14:paraId="7C7403EF">
      <w:pPr>
        <w:adjustRightInd w:val="0"/>
        <w:spacing w:line="360" w:lineRule="auto"/>
        <w:ind w:firstLine="480"/>
      </w:pPr>
      <w:r>
        <w:t>2）质量检查的岗位设置及检查人员名单；</w:t>
      </w:r>
    </w:p>
    <w:p w14:paraId="503DF064">
      <w:pPr>
        <w:adjustRightInd w:val="0"/>
        <w:spacing w:line="360" w:lineRule="auto"/>
        <w:ind w:firstLine="480"/>
      </w:pPr>
      <w:r>
        <w:t>3）各主要工程建筑物施工，以及各施工工种的质量检查程序；</w:t>
      </w:r>
    </w:p>
    <w:p w14:paraId="4A1C3A45">
      <w:pPr>
        <w:adjustRightInd w:val="0"/>
        <w:spacing w:line="360" w:lineRule="auto"/>
        <w:ind w:firstLine="480"/>
      </w:pPr>
      <w:r>
        <w:t>4）隐蔽工程和工程隐蔽部位的质量检查程序；</w:t>
      </w:r>
    </w:p>
    <w:p w14:paraId="603CDB5F">
      <w:pPr>
        <w:adjustRightInd w:val="0"/>
        <w:spacing w:line="360" w:lineRule="auto"/>
        <w:ind w:firstLine="480"/>
      </w:pPr>
      <w:r>
        <w:t>5）质量检查记录及验收单格式。</w:t>
      </w:r>
    </w:p>
    <w:p w14:paraId="1F1474A3">
      <w:pPr>
        <w:adjustRightInd w:val="0"/>
        <w:spacing w:line="360" w:lineRule="auto"/>
        <w:ind w:firstLine="480"/>
      </w:pPr>
      <w:r>
        <w:t>（2）</w:t>
      </w:r>
      <w:r>
        <w:rPr>
          <w:rFonts w:hint="eastAsia"/>
          <w:lang w:eastAsia="zh-CN"/>
        </w:rPr>
        <w:t>投标人</w:t>
      </w:r>
      <w:r>
        <w:t>应按</w:t>
      </w:r>
      <w:r>
        <w:rPr>
          <w:rFonts w:hint="eastAsia"/>
          <w:lang w:eastAsia="zh-CN"/>
        </w:rPr>
        <w:t>招标人</w:t>
      </w:r>
      <w:r>
        <w:t>指示和批准的格式，编制工程质量报表，定期提交</w:t>
      </w:r>
      <w:r>
        <w:rPr>
          <w:rFonts w:hint="eastAsia"/>
          <w:lang w:eastAsia="zh-CN"/>
        </w:rPr>
        <w:t>招标人</w:t>
      </w:r>
      <w:r>
        <w:t>。</w:t>
      </w:r>
    </w:p>
    <w:p w14:paraId="2DCB74E5">
      <w:pPr>
        <w:adjustRightInd w:val="0"/>
        <w:spacing w:line="360" w:lineRule="auto"/>
        <w:ind w:firstLine="480"/>
      </w:pPr>
      <w:r>
        <w:t>（3）工程发生质量事故时，</w:t>
      </w:r>
      <w:r>
        <w:rPr>
          <w:rFonts w:hint="eastAsia"/>
          <w:lang w:eastAsia="zh-CN"/>
        </w:rPr>
        <w:t>投标人</w:t>
      </w:r>
      <w:r>
        <w:t>应约请</w:t>
      </w:r>
      <w:r>
        <w:rPr>
          <w:rFonts w:hint="eastAsia"/>
          <w:lang w:eastAsia="zh-CN"/>
        </w:rPr>
        <w:t>招标人</w:t>
      </w:r>
      <w:r>
        <w:t>共同对工程质量事故进行</w:t>
      </w:r>
      <w:r>
        <w:rPr>
          <w:rFonts w:hint="eastAsia"/>
          <w:lang w:val="en-US" w:eastAsia="zh-CN"/>
        </w:rPr>
        <w:t>调查</w:t>
      </w:r>
      <w:r>
        <w:t>，做好质量事故</w:t>
      </w:r>
      <w:r>
        <w:rPr>
          <w:rFonts w:hint="eastAsia"/>
          <w:lang w:val="en-US" w:eastAsia="zh-CN"/>
        </w:rPr>
        <w:t>调查</w:t>
      </w:r>
      <w:r>
        <w:t>的同期记录和事故处理的</w:t>
      </w:r>
      <w:r>
        <w:rPr>
          <w:rFonts w:hint="eastAsia"/>
          <w:lang w:val="en-US" w:eastAsia="zh-CN"/>
        </w:rPr>
        <w:t>自查</w:t>
      </w:r>
      <w:r>
        <w:t>报告。</w:t>
      </w:r>
      <w:r>
        <w:rPr>
          <w:rFonts w:hint="eastAsia"/>
          <w:lang w:val="en-US" w:eastAsia="zh-CN"/>
        </w:rPr>
        <w:t>自查</w:t>
      </w:r>
      <w:r>
        <w:t>报告应提交</w:t>
      </w:r>
      <w:r>
        <w:rPr>
          <w:rFonts w:hint="eastAsia"/>
          <w:lang w:eastAsia="zh-CN"/>
        </w:rPr>
        <w:t>招标人</w:t>
      </w:r>
      <w:r>
        <w:t>。</w:t>
      </w:r>
    </w:p>
    <w:p w14:paraId="6171BDB4">
      <w:pPr>
        <w:tabs>
          <w:tab w:val="left" w:pos="0"/>
          <w:tab w:val="left" w:pos="397"/>
        </w:tabs>
        <w:adjustRightInd w:val="0"/>
        <w:spacing w:line="360" w:lineRule="auto"/>
        <w:ind w:firstLine="480"/>
        <w:outlineLvl w:val="2"/>
      </w:pPr>
      <w:bookmarkStart w:id="172" w:name="_Toc1001"/>
      <w:bookmarkStart w:id="173" w:name="_Toc190958873"/>
      <w:bookmarkStart w:id="174" w:name="_Toc2250"/>
      <w:bookmarkStart w:id="175" w:name="_Toc15872"/>
      <w:bookmarkStart w:id="176" w:name="_Toc25948"/>
      <w:bookmarkStart w:id="177" w:name="_Toc23404"/>
      <w:bookmarkStart w:id="178" w:name="_Toc12018"/>
      <w:r>
        <w:t xml:space="preserve">1.8.2 </w:t>
      </w:r>
      <w:r>
        <w:rPr>
          <w:rFonts w:hint="eastAsia"/>
          <w:lang w:eastAsia="zh-CN"/>
        </w:rPr>
        <w:t>招标人</w:t>
      </w:r>
      <w:r>
        <w:t>的质量检查</w:t>
      </w:r>
      <w:bookmarkEnd w:id="172"/>
      <w:bookmarkEnd w:id="173"/>
      <w:bookmarkEnd w:id="174"/>
      <w:bookmarkEnd w:id="175"/>
      <w:bookmarkEnd w:id="176"/>
      <w:bookmarkEnd w:id="177"/>
      <w:bookmarkEnd w:id="178"/>
    </w:p>
    <w:p w14:paraId="612026E3">
      <w:pPr>
        <w:adjustRightInd w:val="0"/>
        <w:spacing w:line="360" w:lineRule="auto"/>
        <w:ind w:firstLine="480"/>
      </w:pPr>
      <w:r>
        <w:t>（1）</w:t>
      </w:r>
      <w:r>
        <w:rPr>
          <w:rFonts w:hint="eastAsia"/>
          <w:lang w:eastAsia="zh-CN"/>
        </w:rPr>
        <w:t>投标人</w:t>
      </w:r>
      <w:r>
        <w:t>应按要求提交材料质量和设备出厂合格证、材料试验和设备检测成果、施工和安装记录等。</w:t>
      </w:r>
    </w:p>
    <w:p w14:paraId="278480D8">
      <w:pPr>
        <w:adjustRightInd w:val="0"/>
        <w:spacing w:line="360" w:lineRule="auto"/>
        <w:ind w:firstLine="480"/>
      </w:pPr>
      <w:r>
        <w:t>（2）</w:t>
      </w:r>
      <w:r>
        <w:rPr>
          <w:rFonts w:hint="eastAsia"/>
          <w:lang w:eastAsia="zh-CN"/>
        </w:rPr>
        <w:t>招标人</w:t>
      </w:r>
      <w:r>
        <w:t>有权要求</w:t>
      </w:r>
      <w:r>
        <w:rPr>
          <w:rFonts w:hint="eastAsia"/>
          <w:lang w:eastAsia="zh-CN"/>
        </w:rPr>
        <w:t>投标人</w:t>
      </w:r>
      <w:r>
        <w:t>按合同约定提供试验用的材料样品或在现场钻取试件，并进行试验检验；必要时</w:t>
      </w:r>
      <w:r>
        <w:rPr>
          <w:rFonts w:hint="eastAsia"/>
          <w:lang w:eastAsia="zh-CN"/>
        </w:rPr>
        <w:t>招标人</w:t>
      </w:r>
      <w:r>
        <w:t>还可要求</w:t>
      </w:r>
      <w:r>
        <w:rPr>
          <w:rFonts w:hint="eastAsia"/>
          <w:lang w:eastAsia="zh-CN"/>
        </w:rPr>
        <w:t>投标人</w:t>
      </w:r>
      <w:r>
        <w:t>进行补充试验检验。</w:t>
      </w:r>
    </w:p>
    <w:p w14:paraId="1D259574">
      <w:pPr>
        <w:tabs>
          <w:tab w:val="left" w:pos="0"/>
          <w:tab w:val="left" w:pos="397"/>
        </w:tabs>
        <w:adjustRightInd w:val="0"/>
        <w:spacing w:line="360" w:lineRule="auto"/>
        <w:ind w:firstLine="480"/>
        <w:outlineLvl w:val="2"/>
      </w:pPr>
      <w:bookmarkStart w:id="179" w:name="_Toc178"/>
      <w:bookmarkStart w:id="180" w:name="_Toc190958874"/>
      <w:bookmarkStart w:id="181" w:name="_Toc4504"/>
      <w:bookmarkStart w:id="182" w:name="_Toc17313"/>
      <w:bookmarkStart w:id="183" w:name="_Toc30182"/>
      <w:bookmarkStart w:id="184" w:name="_Toc27364"/>
      <w:bookmarkStart w:id="185" w:name="_Toc1852"/>
      <w:r>
        <w:t xml:space="preserve">1.8.3 </w:t>
      </w:r>
      <w:r>
        <w:rPr>
          <w:rFonts w:hint="eastAsia"/>
          <w:lang w:eastAsia="zh-CN"/>
        </w:rPr>
        <w:t>招标人</w:t>
      </w:r>
      <w:r>
        <w:t>的完工（预）验收</w:t>
      </w:r>
      <w:bookmarkEnd w:id="179"/>
      <w:bookmarkEnd w:id="180"/>
      <w:bookmarkEnd w:id="181"/>
      <w:bookmarkEnd w:id="182"/>
      <w:bookmarkEnd w:id="183"/>
      <w:bookmarkEnd w:id="184"/>
      <w:bookmarkEnd w:id="185"/>
      <w:r>
        <w:t xml:space="preserve">   </w:t>
      </w:r>
    </w:p>
    <w:p w14:paraId="51098ADA">
      <w:pPr>
        <w:adjustRightInd w:val="0"/>
        <w:spacing w:line="360" w:lineRule="auto"/>
        <w:ind w:firstLine="480"/>
      </w:pPr>
      <w:r>
        <w:t>（1）在施工过程中，</w:t>
      </w:r>
      <w:r>
        <w:rPr>
          <w:rFonts w:hint="eastAsia"/>
          <w:lang w:eastAsia="zh-CN"/>
        </w:rPr>
        <w:t>招标人</w:t>
      </w:r>
      <w:r>
        <w:t>（或</w:t>
      </w:r>
      <w:r>
        <w:rPr>
          <w:rFonts w:hint="eastAsia"/>
          <w:lang w:eastAsia="zh-CN"/>
        </w:rPr>
        <w:t>招标人</w:t>
      </w:r>
      <w:r>
        <w:t>）应会同</w:t>
      </w:r>
      <w:r>
        <w:rPr>
          <w:rFonts w:hint="eastAsia"/>
          <w:lang w:eastAsia="zh-CN"/>
        </w:rPr>
        <w:t>投标人</w:t>
      </w:r>
      <w:r>
        <w:t>和有关部门，根据本合同技术条款的规定，对完工的工程项目进行检查验收。检查合格后，</w:t>
      </w:r>
      <w:r>
        <w:rPr>
          <w:rFonts w:hint="eastAsia"/>
          <w:lang w:eastAsia="zh-CN"/>
        </w:rPr>
        <w:t>招标人</w:t>
      </w:r>
      <w:r>
        <w:t>、</w:t>
      </w:r>
      <w:r>
        <w:rPr>
          <w:rFonts w:hint="eastAsia"/>
          <w:lang w:eastAsia="zh-CN"/>
        </w:rPr>
        <w:t>投标人</w:t>
      </w:r>
      <w:r>
        <w:t>及有关各方均应在检查验收单上签字，作为工程完工（预）验收资料。</w:t>
      </w:r>
    </w:p>
    <w:p w14:paraId="307F93FD">
      <w:pPr>
        <w:adjustRightInd w:val="0"/>
        <w:spacing w:line="360" w:lineRule="auto"/>
        <w:ind w:firstLine="480"/>
      </w:pPr>
      <w:r>
        <w:t>（2）单位工程正式验收前可先进行预验收，由</w:t>
      </w:r>
      <w:r>
        <w:rPr>
          <w:rFonts w:hint="eastAsia"/>
          <w:lang w:eastAsia="zh-CN"/>
        </w:rPr>
        <w:t>招标人</w:t>
      </w:r>
      <w:r>
        <w:t>组织实施，</w:t>
      </w:r>
      <w:r>
        <w:rPr>
          <w:rFonts w:hint="eastAsia"/>
          <w:lang w:eastAsia="zh-CN"/>
        </w:rPr>
        <w:t>招标人</w:t>
      </w:r>
      <w:r>
        <w:t>、</w:t>
      </w:r>
      <w:r>
        <w:rPr>
          <w:rFonts w:hint="eastAsia"/>
          <w:lang w:eastAsia="zh-CN"/>
        </w:rPr>
        <w:t>投标人</w:t>
      </w:r>
      <w:r>
        <w:t>及有关各方参加。</w:t>
      </w:r>
    </w:p>
    <w:p w14:paraId="12A033B0">
      <w:pPr>
        <w:numPr>
          <w:ilvl w:val="1"/>
          <w:numId w:val="1"/>
        </w:numPr>
        <w:adjustRightInd w:val="0"/>
        <w:spacing w:line="360" w:lineRule="auto"/>
        <w:ind w:left="0" w:firstLine="480"/>
        <w:outlineLvl w:val="1"/>
      </w:pPr>
      <w:bookmarkStart w:id="186" w:name="_Toc393441015"/>
      <w:bookmarkStart w:id="187" w:name="_Toc30389"/>
      <w:r>
        <w:t xml:space="preserve"> </w:t>
      </w:r>
      <w:bookmarkStart w:id="188" w:name="_Toc9700"/>
      <w:bookmarkStart w:id="189" w:name="_Toc20317"/>
      <w:bookmarkStart w:id="190" w:name="_Toc362"/>
      <w:bookmarkStart w:id="191" w:name="_Toc190958875"/>
      <w:bookmarkStart w:id="192" w:name="_Toc13624"/>
      <w:bookmarkStart w:id="193" w:name="_Toc31603"/>
      <w:r>
        <w:t>竣工验收</w:t>
      </w:r>
      <w:bookmarkEnd w:id="186"/>
      <w:bookmarkEnd w:id="187"/>
      <w:bookmarkEnd w:id="188"/>
      <w:bookmarkEnd w:id="189"/>
      <w:bookmarkEnd w:id="190"/>
      <w:bookmarkEnd w:id="191"/>
      <w:bookmarkEnd w:id="192"/>
      <w:bookmarkEnd w:id="193"/>
    </w:p>
    <w:p w14:paraId="195A9131">
      <w:pPr>
        <w:tabs>
          <w:tab w:val="left" w:pos="0"/>
          <w:tab w:val="left" w:pos="397"/>
        </w:tabs>
        <w:adjustRightInd w:val="0"/>
        <w:spacing w:line="360" w:lineRule="auto"/>
        <w:ind w:firstLine="480"/>
      </w:pPr>
      <w:r>
        <w:t>（1）工程竣工验收应遵守GB/T 50326《建设工程项目管理规范》和相关国家、行业规范的规定。</w:t>
      </w:r>
    </w:p>
    <w:p w14:paraId="1F49BBFD">
      <w:pPr>
        <w:adjustRightInd w:val="0"/>
        <w:spacing w:line="360" w:lineRule="auto"/>
        <w:ind w:firstLine="480"/>
      </w:pPr>
      <w:r>
        <w:t>（2）各项单位工程、分部工程完工后，</w:t>
      </w:r>
      <w:r>
        <w:rPr>
          <w:rFonts w:hint="eastAsia"/>
          <w:lang w:eastAsia="zh-CN"/>
        </w:rPr>
        <w:t>投标人</w:t>
      </w:r>
      <w:r>
        <w:t>应按本合同的约定，向</w:t>
      </w:r>
      <w:r>
        <w:rPr>
          <w:rFonts w:hint="eastAsia"/>
          <w:lang w:eastAsia="zh-CN"/>
        </w:rPr>
        <w:t>招标人</w:t>
      </w:r>
      <w:r>
        <w:t>提交该项验收工程的竣工验收申请报告。</w:t>
      </w:r>
      <w:r>
        <w:rPr>
          <w:rFonts w:hint="eastAsia"/>
          <w:lang w:eastAsia="zh-CN"/>
        </w:rPr>
        <w:t>招标人</w:t>
      </w:r>
      <w:r>
        <w:t>收到竣工验收申请报告后，应按合同约定的程序和时限完成验收工作。</w:t>
      </w:r>
    </w:p>
    <w:p w14:paraId="39212296">
      <w:pPr>
        <w:adjustRightInd w:val="0"/>
        <w:spacing w:line="360" w:lineRule="auto"/>
        <w:ind w:firstLine="480"/>
      </w:pPr>
      <w:r>
        <w:t>（3）各项工程竣工验收前，</w:t>
      </w:r>
      <w:r>
        <w:rPr>
          <w:rFonts w:hint="eastAsia"/>
          <w:lang w:eastAsia="zh-CN"/>
        </w:rPr>
        <w:t>投标人</w:t>
      </w:r>
      <w:r>
        <w:t>应</w:t>
      </w:r>
      <w:r>
        <w:rPr>
          <w:rFonts w:hint="eastAsia"/>
          <w:lang w:val="en-US" w:eastAsia="zh-CN"/>
        </w:rPr>
        <w:t>整理汇总</w:t>
      </w:r>
      <w:r>
        <w:t>以下竣工验收资料提交</w:t>
      </w:r>
      <w:r>
        <w:rPr>
          <w:rFonts w:hint="eastAsia"/>
          <w:lang w:eastAsia="zh-CN"/>
        </w:rPr>
        <w:t>招标人</w:t>
      </w:r>
      <w:r>
        <w:t>，其内容包括（不限于）：</w:t>
      </w:r>
    </w:p>
    <w:p w14:paraId="1B2D5AD7">
      <w:pPr>
        <w:adjustRightInd w:val="0"/>
        <w:spacing w:line="360" w:lineRule="auto"/>
        <w:ind w:firstLine="480"/>
      </w:pPr>
      <w:r>
        <w:t>1）验收工程的各项施工材料的试验检验成果；</w:t>
      </w:r>
    </w:p>
    <w:p w14:paraId="6464D9A3">
      <w:pPr>
        <w:adjustRightInd w:val="0"/>
        <w:spacing w:line="360" w:lineRule="auto"/>
        <w:ind w:firstLine="480"/>
      </w:pPr>
      <w:r>
        <w:t>2）</w:t>
      </w:r>
      <w:r>
        <w:rPr>
          <w:rFonts w:hint="eastAsia"/>
          <w:lang w:eastAsia="zh-CN"/>
        </w:rPr>
        <w:t>招标人</w:t>
      </w:r>
      <w:r>
        <w:t>对验收工程及其工程设备的质量检查记录；</w:t>
      </w:r>
    </w:p>
    <w:p w14:paraId="6EC53E6F">
      <w:pPr>
        <w:adjustRightInd w:val="0"/>
        <w:spacing w:line="360" w:lineRule="auto"/>
        <w:ind w:firstLine="480"/>
      </w:pPr>
      <w:r>
        <w:t>3）施工过程中，本项工程及其工程设备的变更文件及资料；</w:t>
      </w:r>
    </w:p>
    <w:p w14:paraId="301F3095">
      <w:pPr>
        <w:adjustRightInd w:val="0"/>
        <w:spacing w:line="360" w:lineRule="auto"/>
        <w:ind w:firstLine="480"/>
      </w:pPr>
      <w:r>
        <w:t>4）质量事故记录以及工程及其工程设备的缺陷处理报告；</w:t>
      </w:r>
    </w:p>
    <w:p w14:paraId="0C66EB38">
      <w:pPr>
        <w:adjustRightInd w:val="0"/>
        <w:spacing w:line="360" w:lineRule="auto"/>
        <w:ind w:firstLine="480"/>
      </w:pPr>
      <w:r>
        <w:t>5）施工过程中，对验收工程质量的专题评定报告；</w:t>
      </w:r>
    </w:p>
    <w:p w14:paraId="7001DF6D">
      <w:pPr>
        <w:adjustRightInd w:val="0"/>
        <w:spacing w:line="360" w:lineRule="auto"/>
        <w:ind w:firstLine="480"/>
      </w:pPr>
      <w:r>
        <w:t>6）质量监督机构签认的质量鉴定报告和有关文件；</w:t>
      </w:r>
    </w:p>
    <w:p w14:paraId="5C8E2498">
      <w:pPr>
        <w:adjustRightInd w:val="0"/>
        <w:spacing w:line="360" w:lineRule="auto"/>
        <w:ind w:firstLine="480"/>
      </w:pPr>
      <w:r>
        <w:t>7）验收工程施工期的安全监测成果，以及工程设备的试运行检测成果；</w:t>
      </w:r>
    </w:p>
    <w:p w14:paraId="2973BF12">
      <w:pPr>
        <w:adjustRightInd w:val="0"/>
        <w:spacing w:line="360" w:lineRule="auto"/>
        <w:ind w:firstLine="480"/>
      </w:pPr>
      <w:r>
        <w:t>8）</w:t>
      </w:r>
      <w:r>
        <w:rPr>
          <w:rFonts w:hint="eastAsia"/>
          <w:lang w:eastAsia="zh-CN"/>
        </w:rPr>
        <w:t>招标人</w:t>
      </w:r>
      <w:r>
        <w:t>指示提交的其它竣工验收资料。</w:t>
      </w:r>
    </w:p>
    <w:p w14:paraId="043F53A9">
      <w:pPr>
        <w:numPr>
          <w:ilvl w:val="1"/>
          <w:numId w:val="1"/>
        </w:numPr>
        <w:adjustRightInd w:val="0"/>
        <w:spacing w:line="360" w:lineRule="auto"/>
        <w:ind w:left="0" w:firstLine="480"/>
        <w:outlineLvl w:val="1"/>
      </w:pPr>
      <w:bookmarkStart w:id="194" w:name="_Toc190958877"/>
      <w:bookmarkEnd w:id="194"/>
      <w:bookmarkStart w:id="195" w:name="_Toc190958876"/>
      <w:bookmarkEnd w:id="195"/>
      <w:bookmarkStart w:id="196" w:name="_Toc21317"/>
      <w:bookmarkStart w:id="197" w:name="_Toc21343"/>
      <w:bookmarkStart w:id="198" w:name="_Toc21960"/>
      <w:bookmarkStart w:id="199" w:name="_Toc10312"/>
      <w:bookmarkStart w:id="200" w:name="_Toc6153"/>
      <w:bookmarkStart w:id="201" w:name="_Toc190958878"/>
      <w:bookmarkStart w:id="202" w:name="_Toc393441016"/>
      <w:bookmarkStart w:id="203" w:name="_Toc7139"/>
      <w:r>
        <w:t>工程量计量</w:t>
      </w:r>
      <w:bookmarkEnd w:id="196"/>
      <w:bookmarkEnd w:id="197"/>
      <w:bookmarkEnd w:id="198"/>
      <w:bookmarkEnd w:id="199"/>
      <w:bookmarkEnd w:id="200"/>
      <w:bookmarkEnd w:id="201"/>
      <w:bookmarkEnd w:id="202"/>
      <w:bookmarkEnd w:id="203"/>
    </w:p>
    <w:p w14:paraId="69C1BF27">
      <w:pPr>
        <w:tabs>
          <w:tab w:val="left" w:pos="0"/>
          <w:tab w:val="left" w:pos="397"/>
        </w:tabs>
        <w:adjustRightInd w:val="0"/>
        <w:spacing w:line="360" w:lineRule="auto"/>
        <w:ind w:firstLine="480"/>
        <w:outlineLvl w:val="2"/>
      </w:pPr>
      <w:bookmarkStart w:id="204" w:name="_Toc6086"/>
      <w:bookmarkStart w:id="205" w:name="_Toc12482"/>
      <w:bookmarkStart w:id="206" w:name="_Toc24495"/>
      <w:bookmarkStart w:id="207" w:name="_Toc190958879"/>
      <w:bookmarkStart w:id="208" w:name="_Toc20271"/>
      <w:bookmarkStart w:id="209" w:name="_Toc14767"/>
      <w:bookmarkStart w:id="210" w:name="_Toc22321"/>
      <w:r>
        <w:t>1.10.1说明</w:t>
      </w:r>
      <w:bookmarkEnd w:id="204"/>
      <w:bookmarkEnd w:id="205"/>
      <w:bookmarkEnd w:id="206"/>
      <w:bookmarkEnd w:id="207"/>
      <w:bookmarkEnd w:id="208"/>
      <w:bookmarkEnd w:id="209"/>
      <w:bookmarkEnd w:id="210"/>
    </w:p>
    <w:p w14:paraId="16F3B013">
      <w:pPr>
        <w:adjustRightInd w:val="0"/>
        <w:spacing w:line="360" w:lineRule="auto"/>
        <w:ind w:firstLine="480"/>
      </w:pPr>
      <w:r>
        <w:t>（1）本合同工程项目应按本合同通用和专用合同条款的约定进行计量。计量方法应符合本技术条款各章的有关规定。</w:t>
      </w:r>
    </w:p>
    <w:p w14:paraId="686E6B82">
      <w:pPr>
        <w:adjustRightInd w:val="0"/>
        <w:spacing w:line="360" w:lineRule="auto"/>
        <w:ind w:firstLine="480"/>
      </w:pPr>
      <w:r>
        <w:t>（2）</w:t>
      </w:r>
      <w:r>
        <w:rPr>
          <w:rFonts w:hint="eastAsia"/>
          <w:lang w:eastAsia="zh-CN"/>
        </w:rPr>
        <w:t>投标人</w:t>
      </w:r>
      <w:r>
        <w:t>应保证自供的一切计量设备和用具符合国家度量衡标准的精度要求。</w:t>
      </w:r>
    </w:p>
    <w:p w14:paraId="7697520D">
      <w:pPr>
        <w:adjustRightInd w:val="0"/>
        <w:spacing w:line="360" w:lineRule="auto"/>
        <w:ind w:firstLine="480"/>
      </w:pPr>
      <w:r>
        <w:t>（3）除合同另有约定外，凡超出施工图纸所示和合同技术条款规定的有效工程量以外的超挖、超填工程量，施工附加量，加工、运输损耗量等均不予计量。</w:t>
      </w:r>
    </w:p>
    <w:p w14:paraId="028D11A4">
      <w:pPr>
        <w:adjustRightInd w:val="0"/>
        <w:spacing w:line="360" w:lineRule="auto"/>
        <w:ind w:firstLine="480"/>
      </w:pPr>
      <w:r>
        <w:t>（4）根据合同完成的有效工程量，由</w:t>
      </w:r>
      <w:r>
        <w:rPr>
          <w:rFonts w:hint="eastAsia"/>
          <w:lang w:eastAsia="zh-CN"/>
        </w:rPr>
        <w:t>投标人</w:t>
      </w:r>
      <w:r>
        <w:t>按施工图纸计算，或采用标准的计量设备进行秤量，并经</w:t>
      </w:r>
      <w:r>
        <w:rPr>
          <w:rFonts w:hint="eastAsia"/>
          <w:lang w:eastAsia="zh-CN"/>
        </w:rPr>
        <w:t>招标人</w:t>
      </w:r>
      <w:r>
        <w:t>签认后，列入</w:t>
      </w:r>
      <w:r>
        <w:rPr>
          <w:rFonts w:hint="eastAsia"/>
          <w:lang w:eastAsia="zh-CN"/>
        </w:rPr>
        <w:t>投标人</w:t>
      </w:r>
      <w:r>
        <w:t>的每月完成工程量报表。当分次结算累计工程量与按完成施工图纸所示及合同文件规定计算的有效工程量不一致时，以按完成施工图纸所示及合同文件规定计算的有效工程量为准。</w:t>
      </w:r>
    </w:p>
    <w:p w14:paraId="6A2AA6BE">
      <w:pPr>
        <w:adjustRightInd w:val="0"/>
        <w:spacing w:line="360" w:lineRule="auto"/>
        <w:ind w:firstLine="480"/>
      </w:pPr>
      <w:r>
        <w:t>（5）分次结算工程量的测量工作，应在</w:t>
      </w:r>
      <w:r>
        <w:rPr>
          <w:rFonts w:hint="eastAsia"/>
          <w:lang w:eastAsia="zh-CN"/>
        </w:rPr>
        <w:t>招标人</w:t>
      </w:r>
      <w:r>
        <w:t>在场的情况下，由</w:t>
      </w:r>
      <w:r>
        <w:rPr>
          <w:rFonts w:hint="eastAsia"/>
          <w:lang w:eastAsia="zh-CN"/>
        </w:rPr>
        <w:t>投标人</w:t>
      </w:r>
      <w:r>
        <w:t>负责。必要时，</w:t>
      </w:r>
      <w:r>
        <w:rPr>
          <w:rFonts w:hint="eastAsia"/>
          <w:lang w:eastAsia="zh-CN"/>
        </w:rPr>
        <w:t>招标人</w:t>
      </w:r>
      <w:r>
        <w:t>有权指示</w:t>
      </w:r>
      <w:r>
        <w:rPr>
          <w:rFonts w:hint="eastAsia"/>
          <w:lang w:eastAsia="zh-CN"/>
        </w:rPr>
        <w:t>投标人</w:t>
      </w:r>
      <w:r>
        <w:t>对结算工程量重新进行复核测量，并由</w:t>
      </w:r>
      <w:r>
        <w:rPr>
          <w:rFonts w:hint="eastAsia"/>
          <w:lang w:eastAsia="zh-CN"/>
        </w:rPr>
        <w:t>招标人</w:t>
      </w:r>
      <w:r>
        <w:t>核查确认。</w:t>
      </w:r>
    </w:p>
    <w:p w14:paraId="17DA8453">
      <w:pPr>
        <w:tabs>
          <w:tab w:val="left" w:pos="0"/>
          <w:tab w:val="left" w:pos="397"/>
        </w:tabs>
        <w:adjustRightInd w:val="0"/>
        <w:spacing w:line="360" w:lineRule="auto"/>
        <w:ind w:firstLine="480"/>
        <w:outlineLvl w:val="2"/>
      </w:pPr>
      <w:bookmarkStart w:id="211" w:name="_Toc31818"/>
      <w:bookmarkStart w:id="212" w:name="_Toc26733"/>
      <w:bookmarkStart w:id="213" w:name="_Toc301"/>
      <w:bookmarkStart w:id="214" w:name="_Toc17515"/>
      <w:bookmarkStart w:id="215" w:name="_Toc190958880"/>
      <w:bookmarkStart w:id="216" w:name="_Toc3939"/>
      <w:bookmarkStart w:id="217" w:name="_Toc268"/>
      <w:r>
        <w:t>1.10.2长度计量</w:t>
      </w:r>
      <w:bookmarkEnd w:id="211"/>
      <w:bookmarkEnd w:id="212"/>
      <w:bookmarkEnd w:id="213"/>
      <w:bookmarkEnd w:id="214"/>
      <w:bookmarkEnd w:id="215"/>
      <w:bookmarkEnd w:id="216"/>
      <w:bookmarkEnd w:id="217"/>
    </w:p>
    <w:p w14:paraId="09B3DE25">
      <w:pPr>
        <w:adjustRightInd w:val="0"/>
        <w:spacing w:line="360" w:lineRule="auto"/>
        <w:ind w:firstLine="480"/>
      </w:pPr>
      <w:r>
        <w:t xml:space="preserve">按施工图纸所示施工轮廓尺寸或结构物尺寸计算的有效长度以米为单位计量。  </w:t>
      </w:r>
    </w:p>
    <w:p w14:paraId="6B8A942A">
      <w:pPr>
        <w:numPr>
          <w:ilvl w:val="1"/>
          <w:numId w:val="1"/>
        </w:numPr>
        <w:adjustRightInd w:val="0"/>
        <w:spacing w:line="360" w:lineRule="auto"/>
        <w:ind w:left="0" w:firstLine="480"/>
        <w:outlineLvl w:val="1"/>
      </w:pPr>
      <w:bookmarkStart w:id="218" w:name="_Toc5481"/>
      <w:bookmarkStart w:id="219" w:name="_Toc31569"/>
      <w:bookmarkStart w:id="220" w:name="_Toc28699"/>
      <w:bookmarkStart w:id="221" w:name="_Toc6622"/>
      <w:bookmarkStart w:id="222" w:name="_Toc393441017"/>
      <w:bookmarkStart w:id="223" w:name="_Toc77"/>
      <w:bookmarkStart w:id="224" w:name="_Toc190958881"/>
      <w:bookmarkStart w:id="225" w:name="_Toc28050"/>
      <w:r>
        <w:t>引用技术标准和规程规范的规定</w:t>
      </w:r>
      <w:bookmarkEnd w:id="218"/>
      <w:bookmarkEnd w:id="219"/>
      <w:bookmarkEnd w:id="220"/>
      <w:bookmarkEnd w:id="221"/>
      <w:bookmarkEnd w:id="222"/>
      <w:bookmarkEnd w:id="223"/>
      <w:bookmarkEnd w:id="224"/>
      <w:bookmarkEnd w:id="225"/>
    </w:p>
    <w:p w14:paraId="14868396">
      <w:pPr>
        <w:tabs>
          <w:tab w:val="left" w:pos="0"/>
          <w:tab w:val="left" w:pos="397"/>
        </w:tabs>
        <w:adjustRightInd w:val="0"/>
        <w:spacing w:line="360" w:lineRule="auto"/>
        <w:ind w:firstLine="480"/>
        <w:outlineLvl w:val="2"/>
      </w:pPr>
      <w:bookmarkStart w:id="226" w:name="_Toc31271"/>
      <w:bookmarkStart w:id="227" w:name="_Toc28836"/>
      <w:bookmarkStart w:id="228" w:name="_Toc18115"/>
      <w:bookmarkStart w:id="229" w:name="_Toc29848"/>
      <w:bookmarkStart w:id="230" w:name="_Toc190958882"/>
      <w:bookmarkStart w:id="231" w:name="_Toc8011"/>
      <w:bookmarkStart w:id="232" w:name="_Toc22848"/>
      <w:r>
        <w:t>1.11.1 遵守国家和行业标准的强制性规定</w:t>
      </w:r>
      <w:bookmarkEnd w:id="226"/>
      <w:bookmarkEnd w:id="227"/>
      <w:bookmarkEnd w:id="228"/>
      <w:bookmarkEnd w:id="229"/>
      <w:bookmarkEnd w:id="230"/>
      <w:bookmarkEnd w:id="231"/>
      <w:bookmarkEnd w:id="232"/>
    </w:p>
    <w:p w14:paraId="31CF0CA0">
      <w:pPr>
        <w:adjustRightInd w:val="0"/>
        <w:spacing w:line="360" w:lineRule="auto"/>
        <w:ind w:firstLine="480"/>
      </w:pPr>
      <w:r>
        <w:t>技术条款中有关工程等级、防洪标准和工程安全鉴定标准等涉及工程安全的施工安装技术要求及其验收标准，必须严格遵守国家和行业标准中的强制性规定。遇有矛盾时，应由</w:t>
      </w:r>
      <w:r>
        <w:rPr>
          <w:rFonts w:hint="eastAsia"/>
          <w:lang w:eastAsia="zh-CN"/>
        </w:rPr>
        <w:t>招标人</w:t>
      </w:r>
      <w:r>
        <w:t>按国家和行业标准的强制性规定进行修正。</w:t>
      </w:r>
    </w:p>
    <w:p w14:paraId="14DA13BF">
      <w:pPr>
        <w:tabs>
          <w:tab w:val="left" w:pos="0"/>
          <w:tab w:val="left" w:pos="397"/>
        </w:tabs>
        <w:adjustRightInd w:val="0"/>
        <w:spacing w:line="360" w:lineRule="auto"/>
        <w:ind w:firstLine="480"/>
        <w:outlineLvl w:val="2"/>
      </w:pPr>
      <w:bookmarkStart w:id="233" w:name="_Toc24027"/>
      <w:bookmarkStart w:id="234" w:name="_Toc22402"/>
      <w:bookmarkStart w:id="235" w:name="_Toc13948"/>
      <w:bookmarkStart w:id="236" w:name="_Toc20220"/>
      <w:bookmarkStart w:id="237" w:name="_Toc7052"/>
      <w:bookmarkStart w:id="238" w:name="_Toc190958883"/>
      <w:bookmarkStart w:id="239" w:name="_Toc25040"/>
      <w:r>
        <w:t>1.11.2 引用标准和规程规范以最新版本为准</w:t>
      </w:r>
      <w:bookmarkEnd w:id="233"/>
      <w:bookmarkEnd w:id="234"/>
      <w:bookmarkEnd w:id="235"/>
      <w:bookmarkEnd w:id="236"/>
      <w:bookmarkEnd w:id="237"/>
      <w:bookmarkEnd w:id="238"/>
      <w:bookmarkEnd w:id="239"/>
    </w:p>
    <w:p w14:paraId="65B579DD">
      <w:pPr>
        <w:adjustRightInd w:val="0"/>
        <w:spacing w:line="360" w:lineRule="auto"/>
        <w:ind w:firstLine="480"/>
        <w:sectPr>
          <w:footerReference r:id="rId11" w:type="default"/>
          <w:pgSz w:w="11906" w:h="16838"/>
          <w:pgMar w:top="1418" w:right="1418" w:bottom="1418" w:left="1418" w:header="1021" w:footer="1021" w:gutter="0"/>
          <w:pgNumType w:start="1"/>
          <w:cols w:space="720" w:num="1"/>
          <w:docGrid w:type="linesAndChars" w:linePitch="312" w:charSpace="0"/>
        </w:sectPr>
      </w:pPr>
      <w:r>
        <w:t>技术条款中引用的标准和规程规范均标有出版年代，应用时执行国家和各行业最新出版的版本。</w:t>
      </w:r>
    </w:p>
    <w:p w14:paraId="455C1D2A">
      <w:pPr>
        <w:adjustRightInd w:val="0"/>
        <w:spacing w:line="360" w:lineRule="auto"/>
        <w:ind w:firstLine="0" w:firstLineChars="0"/>
        <w:jc w:val="center"/>
        <w:outlineLvl w:val="0"/>
        <w:rPr>
          <w:b/>
          <w:sz w:val="32"/>
          <w:szCs w:val="32"/>
        </w:rPr>
      </w:pPr>
      <w:bookmarkStart w:id="240" w:name="_Toc31756"/>
      <w:bookmarkStart w:id="241" w:name="_Toc2742"/>
      <w:bookmarkStart w:id="242" w:name="_Toc1077"/>
      <w:bookmarkStart w:id="243" w:name="_Toc190958884"/>
      <w:bookmarkStart w:id="244" w:name="_Toc14717"/>
      <w:bookmarkStart w:id="245" w:name="_Toc15058"/>
      <w:bookmarkStart w:id="246" w:name="_Toc393441018"/>
      <w:bookmarkStart w:id="247" w:name="_Toc3521"/>
      <w:r>
        <w:rPr>
          <w:b/>
          <w:sz w:val="32"/>
          <w:szCs w:val="32"/>
        </w:rPr>
        <w:t>第2章   施工临时设施</w:t>
      </w:r>
      <w:bookmarkEnd w:id="240"/>
      <w:bookmarkEnd w:id="241"/>
      <w:bookmarkEnd w:id="242"/>
      <w:bookmarkEnd w:id="243"/>
      <w:bookmarkEnd w:id="244"/>
      <w:bookmarkEnd w:id="245"/>
      <w:bookmarkEnd w:id="246"/>
      <w:bookmarkEnd w:id="247"/>
    </w:p>
    <w:p w14:paraId="353EED64">
      <w:pPr>
        <w:pStyle w:val="74"/>
        <w:numPr>
          <w:ilvl w:val="1"/>
          <w:numId w:val="3"/>
        </w:numPr>
        <w:tabs>
          <w:tab w:val="left" w:pos="0"/>
        </w:tabs>
        <w:adjustRightInd w:val="0"/>
        <w:snapToGrid w:val="0"/>
        <w:spacing w:line="360" w:lineRule="auto"/>
        <w:ind w:left="0" w:firstLine="482"/>
        <w:outlineLvl w:val="1"/>
        <w:rPr>
          <w:b/>
        </w:rPr>
      </w:pPr>
      <w:bookmarkStart w:id="248" w:name="_Toc8924"/>
      <w:bookmarkStart w:id="249" w:name="_Toc13986"/>
      <w:bookmarkStart w:id="250" w:name="_Toc393441019"/>
      <w:bookmarkStart w:id="251" w:name="_Toc2871"/>
      <w:bookmarkStart w:id="252" w:name="_Toc5125"/>
      <w:bookmarkStart w:id="253" w:name="_Toc14650"/>
      <w:bookmarkStart w:id="254" w:name="_Toc190958885"/>
      <w:bookmarkStart w:id="255" w:name="_Toc31140"/>
      <w:r>
        <w:rPr>
          <w:b/>
        </w:rPr>
        <w:t>一般规定</w:t>
      </w:r>
      <w:bookmarkEnd w:id="248"/>
      <w:bookmarkEnd w:id="249"/>
      <w:bookmarkEnd w:id="250"/>
      <w:bookmarkEnd w:id="251"/>
      <w:bookmarkEnd w:id="252"/>
      <w:bookmarkEnd w:id="253"/>
      <w:bookmarkEnd w:id="254"/>
      <w:bookmarkEnd w:id="255"/>
    </w:p>
    <w:p w14:paraId="1BE5F03D">
      <w:pPr>
        <w:pStyle w:val="74"/>
        <w:numPr>
          <w:ilvl w:val="2"/>
          <w:numId w:val="3"/>
        </w:numPr>
        <w:tabs>
          <w:tab w:val="left" w:pos="0"/>
        </w:tabs>
        <w:adjustRightInd w:val="0"/>
        <w:snapToGrid w:val="0"/>
        <w:spacing w:line="360" w:lineRule="auto"/>
        <w:ind w:left="0" w:firstLine="480"/>
        <w:outlineLvl w:val="2"/>
      </w:pPr>
      <w:bookmarkStart w:id="256" w:name="_Toc28854"/>
      <w:r>
        <w:t xml:space="preserve"> </w:t>
      </w:r>
      <w:bookmarkStart w:id="257" w:name="_Toc190958886"/>
      <w:bookmarkStart w:id="258" w:name="_Toc3911"/>
      <w:bookmarkStart w:id="259" w:name="_Toc21091"/>
      <w:bookmarkStart w:id="260" w:name="_Toc8531"/>
      <w:bookmarkStart w:id="261" w:name="_Toc18506"/>
      <w:bookmarkStart w:id="262" w:name="_Toc29982"/>
      <w:r>
        <w:t>应用范围</w:t>
      </w:r>
      <w:bookmarkEnd w:id="256"/>
      <w:bookmarkEnd w:id="257"/>
      <w:bookmarkEnd w:id="258"/>
      <w:bookmarkEnd w:id="259"/>
      <w:bookmarkEnd w:id="260"/>
      <w:bookmarkEnd w:id="261"/>
      <w:bookmarkEnd w:id="262"/>
    </w:p>
    <w:p w14:paraId="476D4243">
      <w:pPr>
        <w:adjustRightInd w:val="0"/>
        <w:spacing w:line="360" w:lineRule="auto"/>
        <w:ind w:firstLine="480"/>
        <w:rPr>
          <w:color w:val="000000"/>
        </w:rPr>
      </w:pPr>
      <w:r>
        <w:rPr>
          <w:color w:val="000000"/>
        </w:rPr>
        <w:t>本章规定适用于本合同工程施工临时设施的设计、施工及其附属设备的采购和配置、安装、运行、维护、管理和拆除等全部工作。其工作项目包括：现场施工测量、现场试验、施工交通、施工供电、施工供水、施工照明、施工通信、临时加工厂设施、仓库及堆场、弃渣场、土石方中转料场、雨污水、临时生产管理和生活设施等。</w:t>
      </w:r>
    </w:p>
    <w:p w14:paraId="4D1F10AE">
      <w:pPr>
        <w:pStyle w:val="74"/>
        <w:numPr>
          <w:ilvl w:val="2"/>
          <w:numId w:val="3"/>
        </w:numPr>
        <w:tabs>
          <w:tab w:val="left" w:pos="0"/>
        </w:tabs>
        <w:adjustRightInd w:val="0"/>
        <w:snapToGrid w:val="0"/>
        <w:spacing w:line="360" w:lineRule="auto"/>
        <w:ind w:left="0" w:firstLine="480"/>
        <w:outlineLvl w:val="2"/>
      </w:pPr>
      <w:bookmarkStart w:id="263" w:name="_Toc19293"/>
      <w:r>
        <w:t xml:space="preserve"> </w:t>
      </w:r>
      <w:bookmarkStart w:id="264" w:name="_Toc8079"/>
      <w:bookmarkStart w:id="265" w:name="_Toc190958887"/>
      <w:bookmarkStart w:id="266" w:name="_Toc27099"/>
      <w:bookmarkStart w:id="267" w:name="_Toc19659"/>
      <w:bookmarkStart w:id="268" w:name="_Toc19381"/>
      <w:bookmarkStart w:id="269" w:name="_Toc17865"/>
      <w:r>
        <w:rPr>
          <w:rFonts w:hint="eastAsia"/>
          <w:lang w:eastAsia="zh-CN"/>
        </w:rPr>
        <w:t>投标人</w:t>
      </w:r>
      <w:r>
        <w:t>的责任</w:t>
      </w:r>
      <w:bookmarkEnd w:id="263"/>
      <w:bookmarkEnd w:id="264"/>
      <w:bookmarkEnd w:id="265"/>
      <w:bookmarkEnd w:id="266"/>
      <w:bookmarkEnd w:id="267"/>
      <w:bookmarkEnd w:id="268"/>
      <w:bookmarkEnd w:id="269"/>
    </w:p>
    <w:p w14:paraId="5149E2D0">
      <w:pPr>
        <w:adjustRightInd w:val="0"/>
        <w:spacing w:line="360" w:lineRule="auto"/>
        <w:ind w:firstLine="480"/>
        <w:rPr>
          <w:color w:val="000000"/>
        </w:rPr>
      </w:pPr>
      <w:r>
        <w:rPr>
          <w:color w:val="000000"/>
        </w:rPr>
        <w:t>（1）</w:t>
      </w:r>
      <w:r>
        <w:rPr>
          <w:rFonts w:hint="eastAsia"/>
          <w:color w:val="000000"/>
          <w:lang w:eastAsia="zh-CN"/>
        </w:rPr>
        <w:t>投标人</w:t>
      </w:r>
      <w:r>
        <w:rPr>
          <w:color w:val="000000"/>
        </w:rPr>
        <w:t>应负责为完成本合同主体建设而建造的所有施工临时设施的设计、采购、施工、使用、维护、拆除、场地清理以及审批工作等内容。</w:t>
      </w:r>
    </w:p>
    <w:p w14:paraId="08489954">
      <w:pPr>
        <w:adjustRightInd w:val="0"/>
        <w:spacing w:line="360" w:lineRule="auto"/>
        <w:ind w:firstLine="480"/>
        <w:rPr>
          <w:color w:val="000000"/>
        </w:rPr>
      </w:pPr>
      <w:r>
        <w:rPr>
          <w:color w:val="000000"/>
        </w:rPr>
        <w:t>（2）</w:t>
      </w:r>
      <w:r>
        <w:rPr>
          <w:rFonts w:hint="eastAsia"/>
          <w:color w:val="000000"/>
          <w:lang w:eastAsia="zh-CN"/>
        </w:rPr>
        <w:t>投标人</w:t>
      </w:r>
      <w:r>
        <w:rPr>
          <w:color w:val="000000"/>
        </w:rPr>
        <w:t xml:space="preserve">应负责本工程的现场施工测量和现场试验工作。并对其提供的测量和试验成果负责。   </w:t>
      </w:r>
    </w:p>
    <w:p w14:paraId="2D1BCADE">
      <w:pPr>
        <w:adjustRightInd w:val="0"/>
        <w:spacing w:line="360" w:lineRule="auto"/>
        <w:ind w:firstLine="480"/>
        <w:rPr>
          <w:color w:val="000000"/>
        </w:rPr>
      </w:pPr>
      <w:r>
        <w:rPr>
          <w:color w:val="000000"/>
        </w:rPr>
        <w:t>（3）</w:t>
      </w:r>
      <w:r>
        <w:rPr>
          <w:rFonts w:hint="eastAsia"/>
          <w:color w:val="000000"/>
          <w:lang w:eastAsia="zh-CN"/>
        </w:rPr>
        <w:t>投标人</w:t>
      </w:r>
      <w:r>
        <w:rPr>
          <w:color w:val="000000"/>
        </w:rPr>
        <w:t>应负责修建完成各项施工临时设施，并在各项永久工程建筑物施工前，完成全部施工临时设施及其附属设备的安装和试运行。</w:t>
      </w:r>
    </w:p>
    <w:p w14:paraId="3F9A1F41">
      <w:pPr>
        <w:adjustRightInd w:val="0"/>
        <w:spacing w:line="360" w:lineRule="auto"/>
        <w:ind w:firstLine="480"/>
        <w:rPr>
          <w:color w:val="000000"/>
        </w:rPr>
      </w:pPr>
      <w:r>
        <w:rPr>
          <w:color w:val="000000"/>
        </w:rPr>
        <w:t>（4）</w:t>
      </w:r>
      <w:r>
        <w:rPr>
          <w:rFonts w:hint="eastAsia"/>
          <w:color w:val="000000"/>
          <w:lang w:eastAsia="zh-CN"/>
        </w:rPr>
        <w:t>投标人</w:t>
      </w:r>
      <w:r>
        <w:rPr>
          <w:color w:val="000000"/>
        </w:rPr>
        <w:t>应负责场内施工临时道路及其交通设施、设备的设计、施工、采购和配置、安装、运行和维护。</w:t>
      </w:r>
    </w:p>
    <w:p w14:paraId="202DCAB6">
      <w:pPr>
        <w:adjustRightInd w:val="0"/>
        <w:spacing w:line="360" w:lineRule="auto"/>
        <w:ind w:firstLine="480"/>
        <w:rPr>
          <w:color w:val="000000"/>
        </w:rPr>
      </w:pPr>
      <w:r>
        <w:rPr>
          <w:color w:val="000000"/>
        </w:rPr>
        <w:t>（6）</w:t>
      </w:r>
      <w:r>
        <w:rPr>
          <w:rFonts w:hint="eastAsia"/>
          <w:color w:val="000000"/>
          <w:lang w:eastAsia="zh-CN"/>
        </w:rPr>
        <w:t>投标人</w:t>
      </w:r>
      <w:r>
        <w:rPr>
          <w:color w:val="000000"/>
        </w:rPr>
        <w:t>应负责现场办公和生活建筑等临时设施建造和维护，并应对现场办公和生活建筑物的使用安全负责。</w:t>
      </w:r>
    </w:p>
    <w:p w14:paraId="32F07957">
      <w:pPr>
        <w:pStyle w:val="74"/>
        <w:numPr>
          <w:ilvl w:val="2"/>
          <w:numId w:val="3"/>
        </w:numPr>
        <w:tabs>
          <w:tab w:val="left" w:pos="0"/>
        </w:tabs>
        <w:adjustRightInd w:val="0"/>
        <w:snapToGrid w:val="0"/>
        <w:spacing w:line="360" w:lineRule="auto"/>
        <w:ind w:left="0" w:firstLine="480"/>
        <w:outlineLvl w:val="2"/>
      </w:pPr>
      <w:bookmarkStart w:id="270" w:name="_Toc929"/>
      <w:r>
        <w:t xml:space="preserve"> </w:t>
      </w:r>
      <w:bookmarkStart w:id="271" w:name="_Toc6556"/>
      <w:bookmarkStart w:id="272" w:name="_Toc11447"/>
      <w:bookmarkStart w:id="273" w:name="_Toc28985"/>
      <w:bookmarkStart w:id="274" w:name="_Toc190958888"/>
      <w:bookmarkStart w:id="275" w:name="_Toc11133"/>
      <w:bookmarkStart w:id="276" w:name="_Toc26578"/>
      <w:r>
        <w:t>引用标准及规范</w:t>
      </w:r>
      <w:bookmarkEnd w:id="270"/>
      <w:bookmarkEnd w:id="271"/>
      <w:bookmarkEnd w:id="272"/>
      <w:bookmarkEnd w:id="273"/>
      <w:bookmarkEnd w:id="274"/>
      <w:bookmarkEnd w:id="275"/>
      <w:bookmarkEnd w:id="276"/>
    </w:p>
    <w:p w14:paraId="4C1ACF1A">
      <w:pPr>
        <w:adjustRightInd w:val="0"/>
        <w:spacing w:line="360" w:lineRule="auto"/>
        <w:ind w:firstLine="480"/>
      </w:pPr>
      <w:r>
        <w:t>《建筑施工组织设计规范》（GB/T50502）</w:t>
      </w:r>
    </w:p>
    <w:p w14:paraId="74D3C9CB">
      <w:pPr>
        <w:adjustRightInd w:val="0"/>
        <w:spacing w:line="360" w:lineRule="auto"/>
        <w:ind w:firstLine="480"/>
      </w:pPr>
      <w:r>
        <w:t>《电力建设施工质量验收及评价规程第1部分：土建工程》（DL/T5210.1）</w:t>
      </w:r>
    </w:p>
    <w:p w14:paraId="65970DAA">
      <w:pPr>
        <w:adjustRightInd w:val="0"/>
        <w:spacing w:line="360" w:lineRule="auto"/>
        <w:ind w:firstLine="480"/>
      </w:pPr>
      <w:r>
        <w:t>《建筑施工质量验收统一标准》（GB50300）</w:t>
      </w:r>
    </w:p>
    <w:p w14:paraId="2DF3AC2C">
      <w:pPr>
        <w:adjustRightInd w:val="0"/>
        <w:spacing w:line="360" w:lineRule="auto"/>
        <w:ind w:firstLine="480"/>
      </w:pPr>
      <w:r>
        <w:t>《</w:t>
      </w:r>
      <w:r>
        <w:rPr>
          <w:rFonts w:hint="eastAsia"/>
          <w:lang w:val="en-US" w:eastAsia="zh-CN"/>
        </w:rPr>
        <w:t>工程</w:t>
      </w:r>
      <w:r>
        <w:t>测量</w:t>
      </w:r>
      <w:r>
        <w:rPr>
          <w:rFonts w:hint="eastAsia"/>
          <w:lang w:val="en-US" w:eastAsia="zh-CN"/>
        </w:rPr>
        <w:t>标准</w:t>
      </w:r>
      <w:r>
        <w:t>》（GB50026）</w:t>
      </w:r>
    </w:p>
    <w:p w14:paraId="25066C2F">
      <w:pPr>
        <w:adjustRightInd w:val="0"/>
        <w:spacing w:line="360" w:lineRule="auto"/>
        <w:ind w:firstLine="480"/>
      </w:pPr>
      <w:r>
        <w:t>《生活饮用水卫生标准》（GB 5749）</w:t>
      </w:r>
    </w:p>
    <w:p w14:paraId="52BB11B4">
      <w:pPr>
        <w:adjustRightInd w:val="0"/>
        <w:spacing w:line="360" w:lineRule="auto"/>
        <w:ind w:firstLine="480"/>
      </w:pPr>
      <w:r>
        <w:t>国家有关部、委、各级政府部门和上级主管部门颁发的有关安全生产和环境保护工作的其它法令、法规、规定和制度。</w:t>
      </w:r>
    </w:p>
    <w:p w14:paraId="134B81DE">
      <w:pPr>
        <w:adjustRightInd w:val="0"/>
        <w:spacing w:line="360" w:lineRule="auto"/>
        <w:ind w:firstLine="480"/>
      </w:pPr>
      <w:r>
        <w:rPr>
          <w:rFonts w:hint="eastAsia"/>
          <w:lang w:eastAsia="zh-CN"/>
        </w:rPr>
        <w:t>招标人</w:t>
      </w:r>
      <w:r>
        <w:t>有关安全文明施工及环境保护的规定、制度。</w:t>
      </w:r>
    </w:p>
    <w:p w14:paraId="77B28471">
      <w:pPr>
        <w:adjustRightInd w:val="0"/>
        <w:spacing w:line="360" w:lineRule="auto"/>
        <w:ind w:firstLine="480"/>
      </w:pPr>
      <w:r>
        <w:t>包括而不仅限于上述标准内容，</w:t>
      </w:r>
      <w:r>
        <w:rPr>
          <w:rFonts w:hint="eastAsia"/>
          <w:lang w:eastAsia="zh-CN"/>
        </w:rPr>
        <w:t>投标人</w:t>
      </w:r>
      <w:r>
        <w:t>需自行根据国家最新颁布实施的有关标准进行更新。</w:t>
      </w:r>
    </w:p>
    <w:p w14:paraId="54450842">
      <w:pPr>
        <w:pStyle w:val="74"/>
        <w:numPr>
          <w:ilvl w:val="1"/>
          <w:numId w:val="3"/>
        </w:numPr>
        <w:tabs>
          <w:tab w:val="left" w:pos="0"/>
        </w:tabs>
        <w:adjustRightInd w:val="0"/>
        <w:snapToGrid w:val="0"/>
        <w:spacing w:line="360" w:lineRule="auto"/>
        <w:ind w:left="0" w:firstLine="480"/>
        <w:outlineLvl w:val="1"/>
      </w:pPr>
      <w:bookmarkStart w:id="277" w:name="_Toc393441020"/>
      <w:bookmarkStart w:id="278" w:name="_Toc27835"/>
      <w:r>
        <w:t xml:space="preserve"> </w:t>
      </w:r>
      <w:bookmarkStart w:id="279" w:name="_Toc190958889"/>
      <w:bookmarkStart w:id="280" w:name="_Toc16139"/>
      <w:bookmarkStart w:id="281" w:name="_Toc18933"/>
      <w:bookmarkStart w:id="282" w:name="_Toc20328"/>
      <w:bookmarkStart w:id="283" w:name="_Toc10642"/>
      <w:bookmarkStart w:id="284" w:name="_Toc24928"/>
      <w:r>
        <w:t>施工测量</w:t>
      </w:r>
      <w:bookmarkEnd w:id="277"/>
      <w:bookmarkEnd w:id="278"/>
      <w:bookmarkEnd w:id="279"/>
      <w:bookmarkEnd w:id="280"/>
      <w:bookmarkEnd w:id="281"/>
      <w:bookmarkEnd w:id="282"/>
      <w:bookmarkEnd w:id="283"/>
      <w:bookmarkEnd w:id="284"/>
    </w:p>
    <w:p w14:paraId="76887050">
      <w:pPr>
        <w:numPr>
          <w:ilvl w:val="0"/>
          <w:numId w:val="4"/>
        </w:numPr>
        <w:adjustRightInd w:val="0"/>
        <w:spacing w:line="360" w:lineRule="auto"/>
        <w:ind w:firstLine="480"/>
      </w:pPr>
      <w:r>
        <w:rPr>
          <w:rFonts w:hint="eastAsia"/>
          <w:lang w:eastAsia="zh-CN"/>
        </w:rPr>
        <w:t>投标人</w:t>
      </w:r>
      <w:r>
        <w:t xml:space="preserve">应负责施工过程中的全部施工测量工作，并配置持证上岗的人员、仪器、设备和其他物品。 </w:t>
      </w:r>
    </w:p>
    <w:p w14:paraId="361038D6">
      <w:pPr>
        <w:numPr>
          <w:ilvl w:val="0"/>
          <w:numId w:val="4"/>
        </w:numPr>
        <w:adjustRightInd w:val="0"/>
        <w:spacing w:line="360" w:lineRule="auto"/>
        <w:ind w:firstLine="480"/>
      </w:pPr>
      <w:r>
        <w:t>测量所用工器具必须经检定合格，并定期进行检定、检验及维护。</w:t>
      </w:r>
    </w:p>
    <w:p w14:paraId="30F4F850">
      <w:pPr>
        <w:numPr>
          <w:ilvl w:val="0"/>
          <w:numId w:val="4"/>
        </w:numPr>
        <w:adjustRightInd w:val="0"/>
        <w:spacing w:line="360" w:lineRule="auto"/>
        <w:ind w:firstLine="480"/>
      </w:pPr>
      <w:r>
        <w:rPr>
          <w:rFonts w:hint="eastAsia"/>
          <w:lang w:eastAsia="zh-CN"/>
        </w:rPr>
        <w:t>招标人</w:t>
      </w:r>
      <w:r>
        <w:t>可以指示</w:t>
      </w:r>
      <w:r>
        <w:rPr>
          <w:rFonts w:hint="eastAsia"/>
          <w:lang w:eastAsia="zh-CN"/>
        </w:rPr>
        <w:t>投标人</w:t>
      </w:r>
      <w:r>
        <w:t>进行抽样复测，当复测中发现错误或出现超过规范规定的误差时，</w:t>
      </w:r>
      <w:r>
        <w:rPr>
          <w:rFonts w:hint="eastAsia"/>
          <w:lang w:eastAsia="zh-CN"/>
        </w:rPr>
        <w:t>投标人</w:t>
      </w:r>
      <w:r>
        <w:t>应按</w:t>
      </w:r>
      <w:r>
        <w:rPr>
          <w:rFonts w:hint="eastAsia"/>
          <w:lang w:eastAsia="zh-CN"/>
        </w:rPr>
        <w:t>招标人</w:t>
      </w:r>
      <w:r>
        <w:t xml:space="preserve">指示进行修正或补测。 </w:t>
      </w:r>
    </w:p>
    <w:p w14:paraId="6FE3E21C">
      <w:pPr>
        <w:numPr>
          <w:ilvl w:val="0"/>
          <w:numId w:val="4"/>
        </w:numPr>
        <w:adjustRightInd w:val="0"/>
        <w:spacing w:line="360" w:lineRule="auto"/>
        <w:ind w:firstLine="480"/>
        <w:rPr>
          <w:color w:val="000000"/>
        </w:rPr>
      </w:pPr>
      <w:r>
        <w:rPr>
          <w:rFonts w:hint="eastAsia"/>
          <w:lang w:eastAsia="zh-CN"/>
        </w:rPr>
        <w:t>投标人</w:t>
      </w:r>
      <w:r>
        <w:t>应配合</w:t>
      </w:r>
      <w:r>
        <w:rPr>
          <w:rFonts w:hint="eastAsia"/>
          <w:lang w:eastAsia="zh-CN"/>
        </w:rPr>
        <w:t>招标人</w:t>
      </w:r>
      <w:r>
        <w:t>或第三方使用由</w:t>
      </w:r>
      <w:r>
        <w:rPr>
          <w:rFonts w:hint="eastAsia"/>
          <w:lang w:eastAsia="zh-CN"/>
        </w:rPr>
        <w:t>投标人</w:t>
      </w:r>
      <w:r>
        <w:t>建立维护的控制网。</w:t>
      </w:r>
    </w:p>
    <w:p w14:paraId="387898E3">
      <w:pPr>
        <w:pStyle w:val="74"/>
        <w:numPr>
          <w:ilvl w:val="1"/>
          <w:numId w:val="3"/>
        </w:numPr>
        <w:tabs>
          <w:tab w:val="left" w:pos="0"/>
        </w:tabs>
        <w:adjustRightInd w:val="0"/>
        <w:snapToGrid w:val="0"/>
        <w:spacing w:line="360" w:lineRule="auto"/>
        <w:ind w:left="0" w:firstLine="480"/>
        <w:outlineLvl w:val="1"/>
      </w:pPr>
      <w:bookmarkStart w:id="285" w:name="_Toc11617"/>
      <w:bookmarkStart w:id="286" w:name="_Toc393441021"/>
      <w:r>
        <w:t xml:space="preserve"> </w:t>
      </w:r>
      <w:bookmarkStart w:id="287" w:name="_Toc190958890"/>
      <w:bookmarkStart w:id="288" w:name="_Toc15503"/>
      <w:bookmarkStart w:id="289" w:name="_Toc16405"/>
      <w:bookmarkStart w:id="290" w:name="_Toc20550"/>
      <w:bookmarkStart w:id="291" w:name="_Toc24282"/>
      <w:bookmarkStart w:id="292" w:name="_Toc157"/>
      <w:r>
        <w:t>现场试验</w:t>
      </w:r>
      <w:bookmarkEnd w:id="285"/>
      <w:bookmarkEnd w:id="286"/>
      <w:bookmarkEnd w:id="287"/>
      <w:bookmarkEnd w:id="288"/>
      <w:bookmarkEnd w:id="289"/>
      <w:bookmarkEnd w:id="290"/>
      <w:bookmarkEnd w:id="291"/>
      <w:bookmarkEnd w:id="292"/>
    </w:p>
    <w:p w14:paraId="085C2E34">
      <w:pPr>
        <w:adjustRightInd w:val="0"/>
        <w:spacing w:line="360" w:lineRule="auto"/>
        <w:ind w:firstLine="480"/>
      </w:pPr>
      <w:r>
        <w:rPr>
          <w:rFonts w:hint="eastAsia"/>
          <w:lang w:eastAsia="zh-CN"/>
        </w:rPr>
        <w:t>招标人</w:t>
      </w:r>
      <w:r>
        <w:t>在必要时可以使用</w:t>
      </w:r>
      <w:r>
        <w:rPr>
          <w:rFonts w:hint="eastAsia"/>
          <w:lang w:eastAsia="zh-CN"/>
        </w:rPr>
        <w:t>投标人</w:t>
      </w:r>
      <w:r>
        <w:t>的试验场所、试验设备器材以及其他试验条件，进行以工程质量检查为目的的复核性材料试验，</w:t>
      </w:r>
      <w:r>
        <w:rPr>
          <w:rFonts w:hint="eastAsia"/>
          <w:lang w:eastAsia="zh-CN"/>
        </w:rPr>
        <w:t>投标人</w:t>
      </w:r>
      <w:r>
        <w:t xml:space="preserve">应予以协助。 </w:t>
      </w:r>
    </w:p>
    <w:p w14:paraId="06A44983">
      <w:pPr>
        <w:pStyle w:val="74"/>
        <w:numPr>
          <w:ilvl w:val="1"/>
          <w:numId w:val="3"/>
        </w:numPr>
        <w:tabs>
          <w:tab w:val="left" w:pos="0"/>
        </w:tabs>
        <w:adjustRightInd w:val="0"/>
        <w:snapToGrid w:val="0"/>
        <w:spacing w:line="360" w:lineRule="auto"/>
        <w:ind w:left="0" w:firstLine="480"/>
        <w:outlineLvl w:val="1"/>
      </w:pPr>
      <w:bookmarkStart w:id="293" w:name="_Toc393441022"/>
      <w:r>
        <w:t xml:space="preserve"> </w:t>
      </w:r>
      <w:bookmarkStart w:id="294" w:name="_Toc19177"/>
      <w:bookmarkStart w:id="295" w:name="_Toc18669"/>
      <w:bookmarkStart w:id="296" w:name="_Toc190958891"/>
      <w:bookmarkStart w:id="297" w:name="_Toc9612"/>
      <w:bookmarkStart w:id="298" w:name="_Toc31888"/>
      <w:bookmarkStart w:id="299" w:name="_Toc6799"/>
      <w:r>
        <w:t>施工交通</w:t>
      </w:r>
      <w:bookmarkEnd w:id="293"/>
      <w:bookmarkEnd w:id="294"/>
      <w:bookmarkEnd w:id="295"/>
      <w:bookmarkEnd w:id="296"/>
      <w:bookmarkEnd w:id="297"/>
      <w:bookmarkEnd w:id="298"/>
      <w:bookmarkEnd w:id="299"/>
    </w:p>
    <w:p w14:paraId="2100190D">
      <w:pPr>
        <w:pStyle w:val="74"/>
        <w:numPr>
          <w:ilvl w:val="2"/>
          <w:numId w:val="3"/>
        </w:numPr>
        <w:tabs>
          <w:tab w:val="left" w:pos="0"/>
        </w:tabs>
        <w:adjustRightInd w:val="0"/>
        <w:snapToGrid w:val="0"/>
        <w:spacing w:line="360" w:lineRule="auto"/>
        <w:ind w:left="0" w:firstLine="480"/>
        <w:outlineLvl w:val="2"/>
      </w:pPr>
      <w:bookmarkStart w:id="300" w:name="_Toc32620"/>
      <w:r>
        <w:t xml:space="preserve"> </w:t>
      </w:r>
      <w:bookmarkStart w:id="301" w:name="_Toc4395"/>
      <w:bookmarkStart w:id="302" w:name="_Toc28150"/>
      <w:bookmarkStart w:id="303" w:name="_Toc19652"/>
      <w:bookmarkStart w:id="304" w:name="_Toc12596"/>
      <w:bookmarkStart w:id="305" w:name="_Toc190958892"/>
      <w:bookmarkStart w:id="306" w:name="_Toc1365"/>
      <w:r>
        <w:t>场内施工道路</w:t>
      </w:r>
      <w:bookmarkEnd w:id="300"/>
      <w:bookmarkEnd w:id="301"/>
      <w:bookmarkEnd w:id="302"/>
      <w:bookmarkEnd w:id="303"/>
      <w:bookmarkEnd w:id="304"/>
      <w:bookmarkEnd w:id="305"/>
      <w:bookmarkEnd w:id="306"/>
    </w:p>
    <w:p w14:paraId="6DE1EB80">
      <w:pPr>
        <w:adjustRightInd w:val="0"/>
        <w:spacing w:line="360" w:lineRule="auto"/>
        <w:ind w:firstLine="480"/>
      </w:pPr>
      <w:r>
        <w:t>除合同另有约定外，</w:t>
      </w:r>
      <w:r>
        <w:rPr>
          <w:rFonts w:hint="eastAsia"/>
          <w:lang w:eastAsia="zh-CN"/>
        </w:rPr>
        <w:t>投标人</w:t>
      </w:r>
      <w:r>
        <w:t>负责修建本标段施工区内自</w:t>
      </w:r>
      <w:r>
        <w:rPr>
          <w:rFonts w:hint="eastAsia"/>
          <w:lang w:eastAsia="zh-CN"/>
        </w:rPr>
        <w:t>招标人</w:t>
      </w:r>
      <w:r>
        <w:t>提供的道路至各施工点的全部施工道路，并在合同实施期间负责管理和维护。</w:t>
      </w:r>
    </w:p>
    <w:p w14:paraId="2008A6DB">
      <w:pPr>
        <w:pStyle w:val="74"/>
        <w:numPr>
          <w:ilvl w:val="2"/>
          <w:numId w:val="3"/>
        </w:numPr>
        <w:tabs>
          <w:tab w:val="left" w:pos="0"/>
        </w:tabs>
        <w:adjustRightInd w:val="0"/>
        <w:snapToGrid w:val="0"/>
        <w:spacing w:line="360" w:lineRule="auto"/>
        <w:ind w:left="0" w:firstLine="480"/>
        <w:outlineLvl w:val="2"/>
      </w:pPr>
      <w:bookmarkStart w:id="307" w:name="_Toc190958893"/>
      <w:bookmarkEnd w:id="307"/>
      <w:bookmarkStart w:id="308" w:name="_Toc31853"/>
      <w:r>
        <w:t xml:space="preserve"> </w:t>
      </w:r>
      <w:bookmarkStart w:id="309" w:name="_Toc190958894"/>
      <w:bookmarkStart w:id="310" w:name="_Toc28198"/>
      <w:bookmarkStart w:id="311" w:name="_Toc7526"/>
      <w:bookmarkStart w:id="312" w:name="_Toc15969"/>
      <w:bookmarkStart w:id="313" w:name="_Toc21668"/>
      <w:bookmarkStart w:id="314" w:name="_Toc24411"/>
      <w:r>
        <w:t>场外公共交通</w:t>
      </w:r>
      <w:bookmarkEnd w:id="308"/>
      <w:bookmarkEnd w:id="309"/>
      <w:bookmarkEnd w:id="310"/>
      <w:bookmarkEnd w:id="311"/>
      <w:bookmarkEnd w:id="312"/>
      <w:bookmarkEnd w:id="313"/>
      <w:bookmarkEnd w:id="314"/>
    </w:p>
    <w:p w14:paraId="63B21A4A">
      <w:pPr>
        <w:numPr>
          <w:ilvl w:val="0"/>
          <w:numId w:val="5"/>
        </w:numPr>
        <w:adjustRightInd w:val="0"/>
        <w:spacing w:line="360" w:lineRule="auto"/>
        <w:ind w:firstLine="480"/>
      </w:pPr>
      <w:r>
        <w:rPr>
          <w:rFonts w:hint="eastAsia"/>
          <w:lang w:eastAsia="zh-CN"/>
        </w:rPr>
        <w:t>投标人</w:t>
      </w:r>
      <w:r>
        <w:t>进场地施工之前对厂外道路应进行充分调查并编制场外运输方案。</w:t>
      </w:r>
    </w:p>
    <w:p w14:paraId="333B914E">
      <w:pPr>
        <w:numPr>
          <w:ilvl w:val="0"/>
          <w:numId w:val="5"/>
        </w:numPr>
        <w:adjustRightInd w:val="0"/>
        <w:spacing w:line="360" w:lineRule="auto"/>
        <w:ind w:firstLine="480"/>
      </w:pPr>
      <w:r>
        <w:rPr>
          <w:rFonts w:hint="eastAsia"/>
          <w:lang w:eastAsia="zh-CN"/>
        </w:rPr>
        <w:t>投标人</w:t>
      </w:r>
      <w:r>
        <w:t>应遵守有关交通法规，严格按照道路和桥梁的限制荷重安全行驶，并服从交通管理部门的检查和监督。</w:t>
      </w:r>
    </w:p>
    <w:p w14:paraId="54E8F82E">
      <w:pPr>
        <w:numPr>
          <w:ilvl w:val="1"/>
          <w:numId w:val="6"/>
        </w:numPr>
        <w:adjustRightInd w:val="0"/>
        <w:spacing w:line="360" w:lineRule="auto"/>
        <w:ind w:left="0" w:firstLine="480"/>
      </w:pPr>
      <w:bookmarkStart w:id="315" w:name="_Toc393441023"/>
      <w:bookmarkStart w:id="316" w:name="_Toc13693"/>
      <w:r>
        <w:t xml:space="preserve"> 施工用电</w:t>
      </w:r>
      <w:bookmarkEnd w:id="315"/>
      <w:bookmarkEnd w:id="316"/>
    </w:p>
    <w:p w14:paraId="0F664277">
      <w:pPr>
        <w:numPr>
          <w:ilvl w:val="0"/>
          <w:numId w:val="7"/>
        </w:numPr>
        <w:adjustRightInd w:val="0"/>
        <w:spacing w:line="360" w:lineRule="auto"/>
        <w:ind w:firstLine="480"/>
      </w:pPr>
      <w:r>
        <w:rPr>
          <w:rFonts w:hint="eastAsia"/>
          <w:lang w:eastAsia="zh-CN"/>
        </w:rPr>
        <w:t>投标人</w:t>
      </w:r>
      <w:r>
        <w:t>组织施工时应严格执行现行国家、行业颁布的相关规范、标准，如JGJ46《施工现场临时用电安全技术规范》等。</w:t>
      </w:r>
    </w:p>
    <w:p w14:paraId="39B001A3">
      <w:pPr>
        <w:numPr>
          <w:ilvl w:val="0"/>
          <w:numId w:val="7"/>
        </w:numPr>
        <w:adjustRightInd w:val="0"/>
        <w:spacing w:line="360" w:lineRule="auto"/>
        <w:ind w:firstLine="480"/>
      </w:pPr>
      <w:r>
        <w:t>施工临时用电工程应当编制临时用电施工组织设计，并报</w:t>
      </w:r>
      <w:r>
        <w:rPr>
          <w:rFonts w:hint="eastAsia"/>
          <w:lang w:eastAsia="zh-CN"/>
        </w:rPr>
        <w:t>招标人</w:t>
      </w:r>
      <w:r>
        <w:t>批准。</w:t>
      </w:r>
    </w:p>
    <w:p w14:paraId="07222C05">
      <w:pPr>
        <w:numPr>
          <w:ilvl w:val="0"/>
          <w:numId w:val="7"/>
        </w:numPr>
        <w:adjustRightInd w:val="0"/>
        <w:spacing w:line="360" w:lineRule="auto"/>
        <w:ind w:firstLine="480"/>
      </w:pPr>
      <w:r>
        <w:t>临时用电工程完工后必须通过验收合格后方可投入使用。</w:t>
      </w:r>
    </w:p>
    <w:p w14:paraId="244AF712">
      <w:pPr>
        <w:numPr>
          <w:ilvl w:val="2"/>
          <w:numId w:val="8"/>
        </w:numPr>
        <w:adjustRightInd w:val="0"/>
        <w:spacing w:line="360" w:lineRule="auto"/>
        <w:ind w:left="0" w:firstLine="480"/>
      </w:pPr>
      <w:bookmarkStart w:id="317" w:name="_Toc13574"/>
      <w:r>
        <w:t xml:space="preserve"> 施工电源</w:t>
      </w:r>
      <w:bookmarkEnd w:id="317"/>
    </w:p>
    <w:p w14:paraId="1014A710">
      <w:pPr>
        <w:adjustRightInd w:val="0"/>
        <w:spacing w:line="360" w:lineRule="auto"/>
        <w:ind w:firstLine="480"/>
        <w:rPr>
          <w:color w:val="000000"/>
        </w:rPr>
      </w:pPr>
      <w:r>
        <w:rPr>
          <w:color w:val="000000"/>
        </w:rPr>
        <w:t>（1）除合同另有约定外，场区周边道路附近有两处可用10kV电源。施工电缆由承包方自行负责，使用前需由</w:t>
      </w:r>
      <w:r>
        <w:rPr>
          <w:rFonts w:hint="eastAsia"/>
          <w:color w:val="000000"/>
          <w:lang w:eastAsia="zh-CN"/>
        </w:rPr>
        <w:t>投标人</w:t>
      </w:r>
      <w:r>
        <w:rPr>
          <w:color w:val="000000"/>
        </w:rPr>
        <w:t>安装电表计量付费。</w:t>
      </w:r>
    </w:p>
    <w:p w14:paraId="13104940">
      <w:pPr>
        <w:adjustRightInd w:val="0"/>
        <w:spacing w:line="360" w:lineRule="auto"/>
        <w:ind w:firstLine="480"/>
        <w:rPr>
          <w:color w:val="000000"/>
        </w:rPr>
      </w:pPr>
      <w:r>
        <w:rPr>
          <w:color w:val="000000"/>
        </w:rPr>
        <w:t>（2）</w:t>
      </w:r>
      <w:r>
        <w:rPr>
          <w:rFonts w:hint="eastAsia"/>
          <w:color w:val="000000"/>
          <w:lang w:eastAsia="zh-CN"/>
        </w:rPr>
        <w:t>投标人</w:t>
      </w:r>
      <w:r>
        <w:rPr>
          <w:color w:val="000000"/>
        </w:rPr>
        <w:t>应负责设计、施工、采购、安装、调试、管理和维修由</w:t>
      </w:r>
      <w:r>
        <w:rPr>
          <w:rFonts w:hint="eastAsia"/>
          <w:color w:val="000000"/>
          <w:lang w:eastAsia="zh-CN"/>
        </w:rPr>
        <w:t>招标人</w:t>
      </w:r>
      <w:r>
        <w:rPr>
          <w:color w:val="000000"/>
        </w:rPr>
        <w:t>施工电源输出端的接口处至所有施工区和生活区的输电线路、配电所及其全部配电装置和功率补偿装置。</w:t>
      </w:r>
    </w:p>
    <w:p w14:paraId="5618E2E9">
      <w:pPr>
        <w:adjustRightInd w:val="0"/>
        <w:spacing w:line="360" w:lineRule="auto"/>
        <w:ind w:firstLine="480"/>
        <w:rPr>
          <w:color w:val="000000"/>
        </w:rPr>
      </w:pPr>
      <w:r>
        <w:rPr>
          <w:color w:val="000000"/>
        </w:rPr>
        <w:t>（3）</w:t>
      </w:r>
      <w:r>
        <w:rPr>
          <w:rFonts w:hint="eastAsia"/>
          <w:color w:val="000000"/>
          <w:lang w:eastAsia="zh-CN"/>
        </w:rPr>
        <w:t>投标人</w:t>
      </w:r>
      <w:r>
        <w:rPr>
          <w:color w:val="000000"/>
        </w:rPr>
        <w:t>应为其出现停电事故后配备一定容量的事故备用电源，为紧急供电之用。</w:t>
      </w:r>
    </w:p>
    <w:p w14:paraId="12915D7B">
      <w:pPr>
        <w:pStyle w:val="74"/>
        <w:numPr>
          <w:ilvl w:val="1"/>
          <w:numId w:val="3"/>
        </w:numPr>
        <w:tabs>
          <w:tab w:val="left" w:pos="0"/>
        </w:tabs>
        <w:adjustRightInd w:val="0"/>
        <w:snapToGrid w:val="0"/>
        <w:spacing w:line="360" w:lineRule="auto"/>
        <w:ind w:left="0" w:firstLine="480"/>
        <w:outlineLvl w:val="1"/>
      </w:pPr>
      <w:bookmarkStart w:id="318" w:name="_Toc190958895"/>
      <w:bookmarkEnd w:id="318"/>
      <w:bookmarkStart w:id="319" w:name="_Toc190958896"/>
      <w:bookmarkEnd w:id="319"/>
      <w:bookmarkStart w:id="320" w:name="_Toc393441024"/>
      <w:bookmarkStart w:id="321" w:name="_Toc2779"/>
      <w:bookmarkStart w:id="322" w:name="_Toc17011"/>
      <w:bookmarkStart w:id="323" w:name="_Toc31137"/>
      <w:bookmarkStart w:id="324" w:name="_Toc24602"/>
      <w:bookmarkStart w:id="325" w:name="_Toc12085"/>
      <w:bookmarkStart w:id="326" w:name="_Toc190958897"/>
      <w:bookmarkStart w:id="327" w:name="_Toc30317"/>
      <w:r>
        <w:t>施工供水</w:t>
      </w:r>
      <w:bookmarkEnd w:id="320"/>
      <w:bookmarkEnd w:id="321"/>
      <w:bookmarkEnd w:id="322"/>
      <w:bookmarkEnd w:id="323"/>
      <w:bookmarkEnd w:id="324"/>
      <w:bookmarkEnd w:id="325"/>
      <w:bookmarkEnd w:id="326"/>
      <w:bookmarkEnd w:id="327"/>
    </w:p>
    <w:p w14:paraId="5B823BDC">
      <w:pPr>
        <w:adjustRightInd w:val="0"/>
        <w:spacing w:line="360" w:lineRule="auto"/>
        <w:ind w:firstLine="480"/>
        <w:rPr>
          <w:color w:val="000000"/>
        </w:rPr>
      </w:pPr>
      <w:r>
        <w:rPr>
          <w:color w:val="000000"/>
        </w:rPr>
        <w:t>（1）</w:t>
      </w:r>
      <w:r>
        <w:rPr>
          <w:rFonts w:hint="eastAsia"/>
          <w:color w:val="000000"/>
          <w:lang w:eastAsia="zh-CN"/>
        </w:rPr>
        <w:t>投标人</w:t>
      </w:r>
      <w:r>
        <w:rPr>
          <w:color w:val="000000"/>
        </w:rPr>
        <w:t>应按合同约定，在</w:t>
      </w:r>
      <w:r>
        <w:rPr>
          <w:rFonts w:hint="eastAsia"/>
          <w:color w:val="000000"/>
          <w:lang w:eastAsia="zh-CN"/>
        </w:rPr>
        <w:t>招标人</w:t>
      </w:r>
      <w:r>
        <w:rPr>
          <w:color w:val="000000"/>
        </w:rPr>
        <w:t>指定取水点取水。</w:t>
      </w:r>
      <w:r>
        <w:t>接口、损耗、计量等相关事宜按</w:t>
      </w:r>
      <w:r>
        <w:rPr>
          <w:rFonts w:hint="eastAsia"/>
          <w:lang w:eastAsia="zh-CN"/>
        </w:rPr>
        <w:t>招标人</w:t>
      </w:r>
      <w:r>
        <w:t>施工管理规定执行。</w:t>
      </w:r>
    </w:p>
    <w:p w14:paraId="58E320EA">
      <w:pPr>
        <w:adjustRightInd w:val="0"/>
        <w:spacing w:line="360" w:lineRule="auto"/>
        <w:ind w:firstLine="480"/>
        <w:rPr>
          <w:color w:val="000000"/>
        </w:rPr>
      </w:pPr>
      <w:r>
        <w:rPr>
          <w:color w:val="000000"/>
        </w:rPr>
        <w:t>（2）</w:t>
      </w:r>
      <w:r>
        <w:rPr>
          <w:rFonts w:hint="eastAsia"/>
          <w:color w:val="000000"/>
          <w:lang w:eastAsia="zh-CN"/>
        </w:rPr>
        <w:t>投标人</w:t>
      </w:r>
      <w:r>
        <w:rPr>
          <w:color w:val="000000"/>
        </w:rPr>
        <w:t>应按本合同施工总布置的要求，负责设计、施工、采购、安装、管理和维修其施工区和生活区的供水系统，包括修建为保证正常供水的引水、储水和水处理设施等。</w:t>
      </w:r>
    </w:p>
    <w:p w14:paraId="7091ADE2">
      <w:pPr>
        <w:numPr>
          <w:ilvl w:val="1"/>
          <w:numId w:val="6"/>
        </w:numPr>
        <w:adjustRightInd w:val="0"/>
        <w:spacing w:line="360" w:lineRule="auto"/>
        <w:ind w:left="0" w:firstLine="480"/>
      </w:pPr>
      <w:bookmarkStart w:id="328" w:name="_Toc7827"/>
      <w:bookmarkStart w:id="329" w:name="_Toc393441026"/>
      <w:r>
        <w:t xml:space="preserve"> 施工照明</w:t>
      </w:r>
      <w:bookmarkEnd w:id="328"/>
      <w:bookmarkEnd w:id="329"/>
    </w:p>
    <w:p w14:paraId="6BCE18A1">
      <w:pPr>
        <w:adjustRightInd w:val="0"/>
        <w:spacing w:line="360" w:lineRule="auto"/>
        <w:ind w:firstLine="480"/>
        <w:rPr>
          <w:color w:val="000000"/>
        </w:rPr>
      </w:pPr>
      <w:r>
        <w:rPr>
          <w:rFonts w:hint="eastAsia"/>
          <w:color w:val="000000"/>
          <w:lang w:eastAsia="zh-CN"/>
        </w:rPr>
        <w:t>投标人</w:t>
      </w:r>
      <w:r>
        <w:rPr>
          <w:color w:val="000000"/>
        </w:rPr>
        <w:t>应负责设计、施工、采购、安装、管理和维修其工程所有施工作业区内的施工区照明线路和照明设施。</w:t>
      </w:r>
    </w:p>
    <w:p w14:paraId="140DB3D6">
      <w:pPr>
        <w:numPr>
          <w:ilvl w:val="1"/>
          <w:numId w:val="6"/>
        </w:numPr>
        <w:adjustRightInd w:val="0"/>
        <w:spacing w:line="360" w:lineRule="auto"/>
        <w:ind w:left="0" w:firstLine="480"/>
      </w:pPr>
      <w:bookmarkStart w:id="330" w:name="_Toc23447"/>
      <w:bookmarkStart w:id="331" w:name="_Toc393441027"/>
      <w:r>
        <w:t xml:space="preserve"> 施工通信</w:t>
      </w:r>
      <w:bookmarkEnd w:id="330"/>
      <w:bookmarkEnd w:id="331"/>
    </w:p>
    <w:p w14:paraId="07B45F18">
      <w:pPr>
        <w:adjustRightInd w:val="0"/>
        <w:spacing w:line="360" w:lineRule="auto"/>
        <w:ind w:firstLine="480"/>
        <w:rPr>
          <w:color w:val="000000"/>
        </w:rPr>
      </w:pPr>
      <w:r>
        <w:rPr>
          <w:color w:val="000000"/>
        </w:rPr>
        <w:t>一切通信设施均由</w:t>
      </w:r>
      <w:r>
        <w:rPr>
          <w:rFonts w:hint="eastAsia"/>
          <w:color w:val="000000"/>
          <w:lang w:eastAsia="zh-CN"/>
        </w:rPr>
        <w:t>投标人</w:t>
      </w:r>
      <w:r>
        <w:rPr>
          <w:color w:val="000000"/>
        </w:rPr>
        <w:t>自行解决。</w:t>
      </w:r>
    </w:p>
    <w:p w14:paraId="05113FD7">
      <w:pPr>
        <w:numPr>
          <w:ilvl w:val="1"/>
          <w:numId w:val="6"/>
        </w:numPr>
        <w:adjustRightInd w:val="0"/>
        <w:spacing w:line="360" w:lineRule="auto"/>
        <w:ind w:left="0" w:firstLine="480"/>
      </w:pPr>
      <w:bookmarkStart w:id="332" w:name="_Toc393441029"/>
      <w:bookmarkStart w:id="333" w:name="_Toc27458"/>
      <w:r>
        <w:t xml:space="preserve"> 临时加工厂设施、仓库及堆场</w:t>
      </w:r>
      <w:bookmarkEnd w:id="332"/>
      <w:bookmarkEnd w:id="333"/>
    </w:p>
    <w:p w14:paraId="56F9765C">
      <w:pPr>
        <w:adjustRightInd w:val="0"/>
        <w:spacing w:line="360" w:lineRule="auto"/>
        <w:ind w:firstLine="480"/>
        <w:rPr>
          <w:color w:val="000000"/>
        </w:rPr>
      </w:pPr>
      <w:r>
        <w:rPr>
          <w:rFonts w:hint="eastAsia"/>
          <w:color w:val="000000"/>
          <w:lang w:eastAsia="zh-CN"/>
        </w:rPr>
        <w:t>投标人</w:t>
      </w:r>
      <w:r>
        <w:rPr>
          <w:color w:val="000000"/>
        </w:rPr>
        <w:t>应按批准的施工总平布置规划、施工进度计划等的要求，负责本合同工程所需的临时加工厂设施、仓库及堆场的设计、修建、管理和维护，并在将相关设计文件提交</w:t>
      </w:r>
      <w:r>
        <w:rPr>
          <w:rFonts w:hint="eastAsia"/>
          <w:color w:val="000000"/>
          <w:lang w:eastAsia="zh-CN"/>
        </w:rPr>
        <w:t>招标人</w:t>
      </w:r>
      <w:r>
        <w:rPr>
          <w:color w:val="000000"/>
        </w:rPr>
        <w:t>批准后实施。</w:t>
      </w:r>
    </w:p>
    <w:p w14:paraId="0C1D8FD6">
      <w:pPr>
        <w:pStyle w:val="74"/>
        <w:numPr>
          <w:ilvl w:val="1"/>
          <w:numId w:val="3"/>
        </w:numPr>
        <w:tabs>
          <w:tab w:val="left" w:pos="0"/>
        </w:tabs>
        <w:adjustRightInd w:val="0"/>
        <w:snapToGrid w:val="0"/>
        <w:spacing w:line="360" w:lineRule="auto"/>
        <w:ind w:left="0" w:firstLine="480"/>
        <w:outlineLvl w:val="1"/>
      </w:pPr>
      <w:bookmarkStart w:id="334" w:name="_Toc32679"/>
      <w:bookmarkStart w:id="335" w:name="_Toc22846"/>
      <w:bookmarkStart w:id="336" w:name="_Toc28175"/>
      <w:bookmarkStart w:id="337" w:name="_Toc393441030"/>
      <w:bookmarkStart w:id="338" w:name="_Toc190958898"/>
      <w:bookmarkStart w:id="339" w:name="_Toc10498"/>
      <w:bookmarkStart w:id="340" w:name="_Toc31506"/>
      <w:bookmarkStart w:id="341" w:name="_Toc19871"/>
      <w:r>
        <w:t>弃渣</w:t>
      </w:r>
      <w:bookmarkEnd w:id="334"/>
      <w:bookmarkEnd w:id="335"/>
      <w:bookmarkEnd w:id="336"/>
      <w:bookmarkEnd w:id="337"/>
      <w:bookmarkEnd w:id="338"/>
      <w:bookmarkEnd w:id="339"/>
      <w:bookmarkEnd w:id="340"/>
      <w:bookmarkEnd w:id="341"/>
    </w:p>
    <w:p w14:paraId="25B5396E">
      <w:pPr>
        <w:adjustRightInd w:val="0"/>
        <w:spacing w:line="360" w:lineRule="auto"/>
        <w:ind w:firstLine="480"/>
        <w:rPr>
          <w:color w:val="000000"/>
        </w:rPr>
      </w:pPr>
      <w:r>
        <w:rPr>
          <w:color w:val="000000"/>
        </w:rPr>
        <w:t>除合同另有约定外，</w:t>
      </w:r>
      <w:r>
        <w:rPr>
          <w:rFonts w:hint="eastAsia"/>
          <w:color w:val="000000"/>
          <w:lang w:eastAsia="zh-CN"/>
        </w:rPr>
        <w:t>投标人</w:t>
      </w:r>
      <w:r>
        <w:rPr>
          <w:color w:val="000000"/>
        </w:rPr>
        <w:t>应根据工程所在地政府有关部门的相关规定</w:t>
      </w:r>
      <w:r>
        <w:rPr>
          <w:rFonts w:hint="eastAsia"/>
          <w:color w:val="000000"/>
          <w:lang w:eastAsia="zh-CN"/>
        </w:rPr>
        <w:t>，</w:t>
      </w:r>
      <w:r>
        <w:rPr>
          <w:color w:val="000000"/>
        </w:rPr>
        <w:t>弃渣至当地政府有关部门批准的各消纳场地，取得合法手续及消纳凭证提交</w:t>
      </w:r>
      <w:r>
        <w:rPr>
          <w:rFonts w:hint="eastAsia"/>
          <w:color w:val="000000"/>
          <w:lang w:eastAsia="zh-CN"/>
        </w:rPr>
        <w:t>招标人</w:t>
      </w:r>
      <w:r>
        <w:rPr>
          <w:color w:val="000000"/>
        </w:rPr>
        <w:t>审核并备案。</w:t>
      </w:r>
    </w:p>
    <w:p w14:paraId="5A084528">
      <w:pPr>
        <w:pStyle w:val="74"/>
        <w:numPr>
          <w:ilvl w:val="1"/>
          <w:numId w:val="3"/>
        </w:numPr>
        <w:tabs>
          <w:tab w:val="left" w:pos="0"/>
        </w:tabs>
        <w:adjustRightInd w:val="0"/>
        <w:snapToGrid w:val="0"/>
        <w:spacing w:line="360" w:lineRule="auto"/>
        <w:ind w:left="0" w:firstLine="480"/>
        <w:outlineLvl w:val="1"/>
      </w:pPr>
      <w:bookmarkStart w:id="342" w:name="_Toc27196"/>
      <w:bookmarkStart w:id="343" w:name="_Toc27968"/>
      <w:bookmarkStart w:id="344" w:name="_Toc25360"/>
      <w:bookmarkStart w:id="345" w:name="_Toc12315"/>
      <w:bookmarkStart w:id="346" w:name="_Toc393441031"/>
      <w:bookmarkStart w:id="347" w:name="_Toc25377"/>
      <w:bookmarkStart w:id="348" w:name="_Toc18504"/>
      <w:r>
        <w:t>雨污水</w:t>
      </w:r>
      <w:bookmarkEnd w:id="342"/>
      <w:bookmarkEnd w:id="343"/>
      <w:bookmarkEnd w:id="344"/>
      <w:bookmarkEnd w:id="345"/>
      <w:bookmarkEnd w:id="346"/>
      <w:bookmarkEnd w:id="347"/>
      <w:bookmarkEnd w:id="348"/>
    </w:p>
    <w:p w14:paraId="2AD4E1C9">
      <w:pPr>
        <w:adjustRightInd w:val="0"/>
        <w:spacing w:line="360" w:lineRule="auto"/>
        <w:ind w:firstLine="480"/>
        <w:rPr>
          <w:color w:val="000000"/>
        </w:rPr>
      </w:pPr>
      <w:r>
        <w:rPr>
          <w:color w:val="000000"/>
        </w:rPr>
        <w:t>除合同另有约定外，</w:t>
      </w:r>
      <w:r>
        <w:rPr>
          <w:rFonts w:hint="eastAsia"/>
          <w:color w:val="000000"/>
          <w:lang w:eastAsia="zh-CN"/>
        </w:rPr>
        <w:t>投标人</w:t>
      </w:r>
      <w:r>
        <w:rPr>
          <w:color w:val="000000"/>
        </w:rPr>
        <w:t>应负责本标段施工区内的雨污水的排放及相关工作，</w:t>
      </w:r>
      <w:r>
        <w:rPr>
          <w:rFonts w:hint="eastAsia"/>
          <w:color w:val="000000"/>
          <w:lang w:val="en-US" w:eastAsia="zh-CN"/>
        </w:rPr>
        <w:t>并且符合当地有关部门的要求，特别是不得影响到周边虾塘养殖，</w:t>
      </w:r>
      <w:r>
        <w:rPr>
          <w:color w:val="000000"/>
        </w:rPr>
        <w:t>包括管网和其它设备的设计、采购、铺设、安装、调试、管理维护等工作。</w:t>
      </w:r>
    </w:p>
    <w:p w14:paraId="1C8034F2">
      <w:pPr>
        <w:pStyle w:val="74"/>
        <w:numPr>
          <w:ilvl w:val="1"/>
          <w:numId w:val="3"/>
        </w:numPr>
        <w:tabs>
          <w:tab w:val="left" w:pos="0"/>
        </w:tabs>
        <w:adjustRightInd w:val="0"/>
        <w:snapToGrid w:val="0"/>
        <w:spacing w:after="0" w:line="360" w:lineRule="auto"/>
        <w:ind w:left="0" w:firstLine="480" w:firstLineChars="0"/>
        <w:jc w:val="left"/>
        <w:outlineLvl w:val="1"/>
        <w:rPr>
          <w:rFonts w:hint="default" w:ascii="Times New Roman" w:hAnsi="Times New Roman" w:cs="Times New Roman"/>
          <w:highlight w:val="none"/>
          <w:lang w:val="en-US" w:eastAsia="zh-CN"/>
        </w:rPr>
      </w:pPr>
      <w:bookmarkStart w:id="349" w:name="_Toc5631"/>
      <w:bookmarkStart w:id="350" w:name="_Toc5718"/>
      <w:bookmarkStart w:id="351" w:name="_Toc23805"/>
      <w:bookmarkStart w:id="352" w:name="_Toc15176"/>
      <w:bookmarkStart w:id="353" w:name="_Toc4120"/>
      <w:r>
        <w:rPr>
          <w:rFonts w:hint="default" w:ascii="Times New Roman" w:hAnsi="Times New Roman" w:cs="Times New Roman"/>
          <w:highlight w:val="none"/>
          <w:lang w:val="en-US" w:eastAsia="zh-CN"/>
        </w:rPr>
        <w:t>临时厕所</w:t>
      </w:r>
      <w:bookmarkEnd w:id="349"/>
      <w:bookmarkEnd w:id="350"/>
      <w:bookmarkEnd w:id="351"/>
      <w:bookmarkEnd w:id="352"/>
      <w:bookmarkEnd w:id="353"/>
    </w:p>
    <w:p w14:paraId="415D4A22">
      <w:pPr>
        <w:snapToGrid w:val="0"/>
        <w:spacing w:after="200" w:line="360" w:lineRule="auto"/>
        <w:ind w:firstLine="480" w:firstLineChars="200"/>
        <w:jc w:val="both"/>
        <w:rPr>
          <w:rFonts w:ascii="Times New Roman" w:hAnsi="Times New Roman" w:cs="Times New Roman"/>
          <w:kern w:val="2"/>
          <w:szCs w:val="21"/>
          <w:highlight w:val="none"/>
          <w:lang w:eastAsia="zh-CN"/>
        </w:rPr>
      </w:pPr>
      <w:r>
        <w:rPr>
          <w:rFonts w:hint="eastAsia" w:cs="Times New Roman"/>
          <w:highlight w:val="none"/>
          <w:lang w:eastAsia="zh-CN"/>
        </w:rPr>
        <w:t>投标人</w:t>
      </w:r>
      <w:r>
        <w:rPr>
          <w:rFonts w:hint="eastAsia" w:ascii="Times New Roman" w:hAnsi="Times New Roman" w:cs="Times New Roman"/>
          <w:highlight w:val="none"/>
          <w:lang w:eastAsia="zh-CN"/>
        </w:rPr>
        <w:t>须设置2间箱式移动厕所，并负责四通一平施工期间</w:t>
      </w:r>
      <w:r>
        <w:rPr>
          <w:rFonts w:hint="eastAsia" w:ascii="Times New Roman" w:hAnsi="Times New Roman" w:cs="Times New Roman"/>
          <w:highlight w:val="none"/>
          <w:lang w:val="en-US" w:eastAsia="zh-CN"/>
        </w:rPr>
        <w:t>临时厕所的</w:t>
      </w:r>
      <w:r>
        <w:rPr>
          <w:rFonts w:hint="eastAsia" w:ascii="Times New Roman" w:hAnsi="Times New Roman" w:cs="Times New Roman"/>
          <w:highlight w:val="none"/>
          <w:lang w:eastAsia="zh-CN"/>
        </w:rPr>
        <w:t>管理，</w:t>
      </w:r>
      <w:r>
        <w:rPr>
          <w:rFonts w:hint="eastAsia" w:ascii="Times New Roman" w:hAnsi="Times New Roman" w:cs="Times New Roman"/>
          <w:highlight w:val="none"/>
          <w:lang w:val="en-US" w:eastAsia="zh-CN"/>
        </w:rPr>
        <w:t>特别提醒临时厕所污物处理不得影响到临近虾塘养殖，</w:t>
      </w:r>
      <w:r>
        <w:rPr>
          <w:rFonts w:hint="eastAsia"/>
          <w:highlight w:val="none"/>
          <w:lang w:val="en-US" w:eastAsia="zh-CN"/>
        </w:rPr>
        <w:t>所需费用包含在安全文明施工费用，请投标人报价时自行考虑。</w:t>
      </w:r>
    </w:p>
    <w:p w14:paraId="09A61C7B">
      <w:pPr>
        <w:pStyle w:val="74"/>
        <w:numPr>
          <w:ilvl w:val="1"/>
          <w:numId w:val="3"/>
        </w:numPr>
        <w:tabs>
          <w:tab w:val="left" w:pos="0"/>
        </w:tabs>
        <w:adjustRightInd w:val="0"/>
        <w:snapToGrid w:val="0"/>
        <w:spacing w:line="360" w:lineRule="auto"/>
        <w:ind w:left="0" w:firstLine="480"/>
        <w:outlineLvl w:val="1"/>
      </w:pPr>
      <w:bookmarkStart w:id="354" w:name="_Toc24622"/>
      <w:bookmarkStart w:id="355" w:name="_Toc10763"/>
      <w:bookmarkStart w:id="356" w:name="_Toc393441032"/>
      <w:bookmarkStart w:id="357" w:name="_Toc190958901"/>
      <w:bookmarkStart w:id="358" w:name="_Toc7474"/>
      <w:bookmarkStart w:id="359" w:name="_Toc22591"/>
      <w:bookmarkStart w:id="360" w:name="_Toc2256"/>
      <w:bookmarkStart w:id="361" w:name="_Toc11996"/>
      <w:r>
        <w:t>临时生产管理和生活设施</w:t>
      </w:r>
      <w:bookmarkEnd w:id="354"/>
      <w:bookmarkEnd w:id="355"/>
      <w:bookmarkEnd w:id="356"/>
      <w:bookmarkEnd w:id="357"/>
      <w:bookmarkEnd w:id="358"/>
      <w:bookmarkEnd w:id="359"/>
      <w:bookmarkEnd w:id="360"/>
      <w:bookmarkEnd w:id="361"/>
    </w:p>
    <w:p w14:paraId="7C236669">
      <w:pPr>
        <w:adjustRightInd w:val="0"/>
        <w:spacing w:line="360" w:lineRule="auto"/>
        <w:ind w:firstLine="480"/>
      </w:pPr>
      <w:bookmarkStart w:id="362" w:name="_Toc29695"/>
      <w:r>
        <w:rPr>
          <w:rFonts w:hint="eastAsia"/>
          <w:lang w:eastAsia="zh-CN"/>
        </w:rPr>
        <w:t>投标人</w:t>
      </w:r>
      <w:r>
        <w:t>临时生产管理和生活设施</w:t>
      </w:r>
      <w:bookmarkEnd w:id="362"/>
    </w:p>
    <w:p w14:paraId="31AC318E">
      <w:pPr>
        <w:adjustRightInd w:val="0"/>
        <w:spacing w:line="360" w:lineRule="auto"/>
        <w:ind w:firstLine="480"/>
        <w:rPr>
          <w:color w:val="000000"/>
        </w:rPr>
      </w:pPr>
      <w:r>
        <w:rPr>
          <w:color w:val="000000"/>
        </w:rPr>
        <w:t>（1）除合同另有约定外，</w:t>
      </w:r>
      <w:r>
        <w:rPr>
          <w:rFonts w:hint="eastAsia"/>
          <w:color w:val="000000"/>
          <w:lang w:eastAsia="zh-CN"/>
        </w:rPr>
        <w:t>投标人</w:t>
      </w:r>
      <w:r>
        <w:rPr>
          <w:color w:val="000000"/>
        </w:rPr>
        <w:t>应负责其施工需要的全部临时生产管理与生活设施的设计、建造及其设备的采购、安装、管理和维护等。并符合</w:t>
      </w:r>
      <w:r>
        <w:rPr>
          <w:rFonts w:hint="eastAsia"/>
          <w:color w:val="000000"/>
          <w:lang w:eastAsia="zh-CN"/>
        </w:rPr>
        <w:t>招标人</w:t>
      </w:r>
      <w:r>
        <w:rPr>
          <w:color w:val="000000"/>
        </w:rPr>
        <w:t>对临设的统一要求。</w:t>
      </w:r>
    </w:p>
    <w:p w14:paraId="1B6D3508">
      <w:pPr>
        <w:adjustRightInd w:val="0"/>
        <w:spacing w:line="360" w:lineRule="auto"/>
        <w:ind w:firstLine="480"/>
        <w:rPr>
          <w:color w:val="000000"/>
        </w:rPr>
      </w:pPr>
      <w:r>
        <w:rPr>
          <w:color w:val="000000"/>
        </w:rPr>
        <w:t>（2）本工程要求达到当地标化工地要求。</w:t>
      </w:r>
    </w:p>
    <w:p w14:paraId="4F5521FF">
      <w:pPr>
        <w:adjustRightInd w:val="0"/>
        <w:spacing w:line="360" w:lineRule="auto"/>
        <w:ind w:firstLine="480"/>
        <w:rPr>
          <w:color w:val="000000"/>
        </w:rPr>
      </w:pPr>
      <w:r>
        <w:rPr>
          <w:color w:val="000000"/>
        </w:rPr>
        <w:t>（3）本临建工程临时生产、生活设施需按抗</w:t>
      </w:r>
      <w:r>
        <w:rPr>
          <w:color w:val="000000"/>
          <w:u w:val="single"/>
        </w:rPr>
        <w:t xml:space="preserve">  12  </w:t>
      </w:r>
      <w:r>
        <w:rPr>
          <w:color w:val="000000"/>
        </w:rPr>
        <w:t>级台风考虑。</w:t>
      </w:r>
    </w:p>
    <w:p w14:paraId="7D8AD617">
      <w:pPr>
        <w:adjustRightInd w:val="0"/>
        <w:spacing w:line="360" w:lineRule="auto"/>
        <w:ind w:firstLine="480"/>
        <w:rPr>
          <w:color w:val="000000"/>
        </w:rPr>
      </w:pPr>
      <w:r>
        <w:rPr>
          <w:color w:val="000000"/>
        </w:rPr>
        <w:t>（4）</w:t>
      </w:r>
      <w:r>
        <w:rPr>
          <w:rFonts w:hint="eastAsia"/>
          <w:color w:val="000000"/>
          <w:lang w:eastAsia="zh-CN"/>
        </w:rPr>
        <w:t>投标人</w:t>
      </w:r>
      <w:r>
        <w:rPr>
          <w:color w:val="000000"/>
        </w:rPr>
        <w:t>应在收到开工通知的</w:t>
      </w:r>
      <w:r>
        <w:rPr>
          <w:color w:val="000000"/>
          <w:u w:val="single"/>
        </w:rPr>
        <w:t xml:space="preserve">  7  </w:t>
      </w:r>
      <w:r>
        <w:rPr>
          <w:color w:val="000000"/>
        </w:rPr>
        <w:t>天内，按</w:t>
      </w:r>
      <w:r>
        <w:rPr>
          <w:rFonts w:hint="eastAsia"/>
          <w:color w:val="000000"/>
          <w:lang w:eastAsia="zh-CN"/>
        </w:rPr>
        <w:t>招标人</w:t>
      </w:r>
      <w:r>
        <w:rPr>
          <w:color w:val="000000"/>
        </w:rPr>
        <w:t>批准的施工规划总布置，向</w:t>
      </w:r>
      <w:r>
        <w:rPr>
          <w:rFonts w:hint="eastAsia"/>
          <w:color w:val="000000"/>
          <w:lang w:eastAsia="zh-CN"/>
        </w:rPr>
        <w:t>招标人</w:t>
      </w:r>
      <w:r>
        <w:rPr>
          <w:color w:val="000000"/>
        </w:rPr>
        <w:t>编制一份临时生产管理和生活设施的布置和房屋建筑物设计的图纸和文件提交</w:t>
      </w:r>
      <w:r>
        <w:rPr>
          <w:rFonts w:hint="eastAsia"/>
          <w:color w:val="000000"/>
          <w:lang w:eastAsia="zh-CN"/>
        </w:rPr>
        <w:t>招标人</w:t>
      </w:r>
      <w:r>
        <w:rPr>
          <w:color w:val="000000"/>
        </w:rPr>
        <w:t>批准。</w:t>
      </w:r>
    </w:p>
    <w:p w14:paraId="13FF7BEE">
      <w:pPr>
        <w:adjustRightInd w:val="0"/>
        <w:spacing w:line="360" w:lineRule="auto"/>
        <w:ind w:firstLine="480"/>
        <w:sectPr>
          <w:pgSz w:w="11906" w:h="16838"/>
          <w:pgMar w:top="1418" w:right="1418" w:bottom="1418" w:left="1418" w:header="1021" w:footer="1021" w:gutter="0"/>
          <w:cols w:space="720" w:num="1"/>
          <w:docGrid w:type="linesAndChars" w:linePitch="312" w:charSpace="0"/>
        </w:sectPr>
      </w:pPr>
    </w:p>
    <w:p w14:paraId="448B5AFA">
      <w:pPr>
        <w:adjustRightInd w:val="0"/>
        <w:spacing w:line="360" w:lineRule="auto"/>
        <w:ind w:firstLine="0" w:firstLineChars="0"/>
        <w:jc w:val="center"/>
        <w:outlineLvl w:val="0"/>
        <w:rPr>
          <w:b/>
          <w:sz w:val="32"/>
          <w:szCs w:val="32"/>
        </w:rPr>
      </w:pPr>
      <w:bookmarkStart w:id="363" w:name="_Toc363650396"/>
      <w:bookmarkStart w:id="364" w:name="_Toc363628422"/>
      <w:bookmarkStart w:id="365" w:name="_Toc32364"/>
      <w:bookmarkStart w:id="366" w:name="_Toc4758"/>
      <w:bookmarkStart w:id="367" w:name="_Toc29617"/>
      <w:bookmarkStart w:id="368" w:name="_Toc25073"/>
      <w:bookmarkStart w:id="369" w:name="_Toc7619"/>
      <w:bookmarkStart w:id="370" w:name="_Toc393441033"/>
      <w:bookmarkStart w:id="371" w:name="_Toc391393488"/>
      <w:bookmarkStart w:id="372" w:name="_Toc190958902"/>
      <w:r>
        <w:rPr>
          <w:b/>
          <w:sz w:val="32"/>
          <w:szCs w:val="32"/>
        </w:rPr>
        <w:t xml:space="preserve">第3章  </w:t>
      </w:r>
      <w:bookmarkEnd w:id="363"/>
      <w:bookmarkEnd w:id="364"/>
      <w:r>
        <w:rPr>
          <w:b/>
          <w:sz w:val="32"/>
          <w:szCs w:val="32"/>
        </w:rPr>
        <w:t xml:space="preserve"> 施工安全措施</w:t>
      </w:r>
      <w:bookmarkEnd w:id="365"/>
      <w:bookmarkEnd w:id="366"/>
      <w:bookmarkEnd w:id="367"/>
      <w:bookmarkEnd w:id="368"/>
      <w:bookmarkEnd w:id="369"/>
      <w:bookmarkEnd w:id="370"/>
      <w:bookmarkEnd w:id="371"/>
      <w:bookmarkEnd w:id="372"/>
    </w:p>
    <w:p w14:paraId="770ECF35">
      <w:pPr>
        <w:pStyle w:val="74"/>
        <w:tabs>
          <w:tab w:val="left" w:pos="0"/>
        </w:tabs>
        <w:adjustRightInd w:val="0"/>
        <w:snapToGrid w:val="0"/>
        <w:spacing w:line="360" w:lineRule="auto"/>
        <w:ind w:firstLine="482"/>
        <w:outlineLvl w:val="1"/>
        <w:rPr>
          <w:b/>
        </w:rPr>
      </w:pPr>
      <w:bookmarkStart w:id="373" w:name="_Toc1620"/>
      <w:bookmarkStart w:id="374" w:name="_Toc363650397"/>
      <w:bookmarkStart w:id="375" w:name="_Toc363628423"/>
      <w:bookmarkStart w:id="376" w:name="_Toc190958903"/>
      <w:bookmarkStart w:id="377" w:name="_Toc13169"/>
      <w:bookmarkStart w:id="378" w:name="_Toc29368"/>
      <w:bookmarkStart w:id="379" w:name="_Toc393441034"/>
      <w:bookmarkStart w:id="380" w:name="_Toc15627"/>
      <w:bookmarkStart w:id="381" w:name="_Toc15814"/>
      <w:bookmarkStart w:id="382" w:name="_Toc391393489"/>
      <w:r>
        <w:rPr>
          <w:b/>
        </w:rPr>
        <w:t>3.1 一般规定</w:t>
      </w:r>
      <w:bookmarkEnd w:id="373"/>
      <w:bookmarkEnd w:id="374"/>
      <w:bookmarkEnd w:id="375"/>
      <w:bookmarkEnd w:id="376"/>
      <w:bookmarkEnd w:id="377"/>
      <w:bookmarkEnd w:id="378"/>
      <w:bookmarkEnd w:id="379"/>
      <w:bookmarkEnd w:id="380"/>
      <w:bookmarkEnd w:id="381"/>
      <w:bookmarkEnd w:id="382"/>
    </w:p>
    <w:p w14:paraId="131A2C41">
      <w:pPr>
        <w:numPr>
          <w:ilvl w:val="2"/>
          <w:numId w:val="9"/>
        </w:numPr>
        <w:adjustRightInd w:val="0"/>
        <w:spacing w:line="360" w:lineRule="auto"/>
        <w:ind w:left="0" w:firstLine="482"/>
        <w:rPr>
          <w:b/>
        </w:rPr>
      </w:pPr>
      <w:bookmarkStart w:id="383" w:name="_Toc391393490"/>
      <w:r>
        <w:rPr>
          <w:b/>
        </w:rPr>
        <w:t>应用范围</w:t>
      </w:r>
      <w:bookmarkEnd w:id="383"/>
    </w:p>
    <w:p w14:paraId="3B8F5CD7">
      <w:pPr>
        <w:pStyle w:val="41"/>
        <w:spacing w:line="360" w:lineRule="auto"/>
        <w:ind w:firstLine="480"/>
        <w:rPr>
          <w:rFonts w:ascii="Times New Roman" w:hAnsi="Times New Roman"/>
        </w:rPr>
      </w:pPr>
      <w:r>
        <w:rPr>
          <w:rFonts w:ascii="Times New Roman" w:hAnsi="Times New Roman"/>
        </w:rPr>
        <w:t>本章适用于施工现场的安全施工管理工作。主要内容包括：文明施工、施工安全措施、应急救援措施等。</w:t>
      </w:r>
    </w:p>
    <w:p w14:paraId="0D3AC2F0">
      <w:pPr>
        <w:numPr>
          <w:ilvl w:val="2"/>
          <w:numId w:val="9"/>
        </w:numPr>
        <w:adjustRightInd w:val="0"/>
        <w:spacing w:line="360" w:lineRule="auto"/>
        <w:ind w:left="0" w:firstLine="482"/>
        <w:rPr>
          <w:b/>
        </w:rPr>
      </w:pPr>
      <w:bookmarkStart w:id="384" w:name="_Toc391393491"/>
      <w:r>
        <w:rPr>
          <w:b/>
        </w:rPr>
        <w:t xml:space="preserve"> </w:t>
      </w:r>
      <w:r>
        <w:rPr>
          <w:rFonts w:hint="eastAsia"/>
          <w:b/>
          <w:lang w:eastAsia="zh-CN"/>
        </w:rPr>
        <w:t>投标人</w:t>
      </w:r>
      <w:r>
        <w:rPr>
          <w:b/>
        </w:rPr>
        <w:t>责任</w:t>
      </w:r>
      <w:bookmarkEnd w:id="384"/>
    </w:p>
    <w:p w14:paraId="56CA44C9">
      <w:pPr>
        <w:pStyle w:val="41"/>
        <w:spacing w:line="360" w:lineRule="auto"/>
        <w:ind w:firstLine="480"/>
        <w:rPr>
          <w:rFonts w:ascii="Times New Roman" w:hAnsi="Times New Roman"/>
        </w:rPr>
      </w:pPr>
      <w:r>
        <w:rPr>
          <w:rFonts w:ascii="Times New Roman" w:hAnsi="Times New Roman"/>
        </w:rPr>
        <w:t>（1）</w:t>
      </w:r>
      <w:r>
        <w:rPr>
          <w:rFonts w:hint="eastAsia" w:ascii="Times New Roman" w:hAnsi="Times New Roman"/>
          <w:lang w:eastAsia="zh-CN"/>
        </w:rPr>
        <w:t>投标人</w:t>
      </w:r>
      <w:r>
        <w:rPr>
          <w:rFonts w:ascii="Times New Roman" w:hAnsi="Times New Roman"/>
        </w:rPr>
        <w:t>应按合同的约定和相关安全规程规定履行其安全施工职责，对本工程的施工安全负责。</w:t>
      </w:r>
    </w:p>
    <w:p w14:paraId="7974D404">
      <w:pPr>
        <w:pStyle w:val="41"/>
        <w:spacing w:line="360" w:lineRule="auto"/>
        <w:ind w:firstLine="480"/>
        <w:rPr>
          <w:rFonts w:ascii="Times New Roman" w:hAnsi="Times New Roman"/>
        </w:rPr>
      </w:pPr>
      <w:r>
        <w:rPr>
          <w:rFonts w:ascii="Times New Roman" w:hAnsi="Times New Roman"/>
        </w:rPr>
        <w:t>（2）</w:t>
      </w:r>
      <w:r>
        <w:rPr>
          <w:rFonts w:hint="eastAsia" w:ascii="Times New Roman" w:hAnsi="Times New Roman"/>
          <w:lang w:eastAsia="zh-CN"/>
        </w:rPr>
        <w:t>投标人</w:t>
      </w:r>
      <w:r>
        <w:rPr>
          <w:rFonts w:ascii="Times New Roman" w:hAnsi="Times New Roman"/>
        </w:rPr>
        <w:t>应负责落实本合同要求的安全目标、文明施工目标。</w:t>
      </w:r>
    </w:p>
    <w:p w14:paraId="71D429B4">
      <w:pPr>
        <w:pStyle w:val="41"/>
        <w:spacing w:line="360" w:lineRule="auto"/>
        <w:ind w:firstLine="480"/>
        <w:rPr>
          <w:rFonts w:ascii="Times New Roman" w:hAnsi="Times New Roman"/>
        </w:rPr>
      </w:pPr>
      <w:r>
        <w:rPr>
          <w:rFonts w:ascii="Times New Roman" w:hAnsi="Times New Roman"/>
        </w:rPr>
        <w:t>（3）</w:t>
      </w:r>
      <w:r>
        <w:rPr>
          <w:rFonts w:hint="eastAsia" w:ascii="Times New Roman" w:hAnsi="Times New Roman"/>
          <w:lang w:eastAsia="zh-CN"/>
        </w:rPr>
        <w:t>投标人</w:t>
      </w:r>
      <w:r>
        <w:rPr>
          <w:rFonts w:ascii="Times New Roman" w:hAnsi="Times New Roman"/>
        </w:rPr>
        <w:t>应坚持“安全第一、预防为主、综合治理”的方针，建立、健全安全生产责任制度，制定各项安全生产规章制度和操作规程，建立完善的施工安全生产设施，健全安全生产保证体系，加强监督管理，切实保障全体人员的生命和财产安全。</w:t>
      </w:r>
    </w:p>
    <w:p w14:paraId="658A5D29">
      <w:pPr>
        <w:pStyle w:val="41"/>
        <w:spacing w:line="360" w:lineRule="auto"/>
        <w:ind w:firstLine="480"/>
        <w:rPr>
          <w:rFonts w:ascii="Times New Roman" w:hAnsi="Times New Roman"/>
        </w:rPr>
      </w:pPr>
      <w:r>
        <w:rPr>
          <w:rFonts w:ascii="Times New Roman" w:hAnsi="Times New Roman"/>
        </w:rPr>
        <w:t>（4）</w:t>
      </w:r>
      <w:r>
        <w:rPr>
          <w:rFonts w:hint="eastAsia" w:ascii="Times New Roman" w:hAnsi="Times New Roman"/>
          <w:lang w:eastAsia="zh-CN"/>
        </w:rPr>
        <w:t>投标人</w:t>
      </w:r>
      <w:r>
        <w:rPr>
          <w:rFonts w:ascii="Times New Roman" w:hAnsi="Times New Roman"/>
        </w:rPr>
        <w:t>应负责全部施工作业的安全检查，建立专门的安全组织机构，配备专职的安全员，进行经常性的安全生产检查，并及时作好安全记录。</w:t>
      </w:r>
    </w:p>
    <w:p w14:paraId="0E84D3AD">
      <w:pPr>
        <w:pStyle w:val="41"/>
        <w:spacing w:line="360" w:lineRule="auto"/>
        <w:ind w:firstLine="480"/>
        <w:rPr>
          <w:rFonts w:ascii="Times New Roman" w:hAnsi="Times New Roman"/>
        </w:rPr>
      </w:pPr>
      <w:r>
        <w:rPr>
          <w:rFonts w:ascii="Times New Roman" w:hAnsi="Times New Roman"/>
        </w:rPr>
        <w:t>（5）</w:t>
      </w:r>
      <w:r>
        <w:rPr>
          <w:rFonts w:hint="eastAsia" w:ascii="Times New Roman" w:hAnsi="Times New Roman"/>
          <w:lang w:eastAsia="zh-CN"/>
        </w:rPr>
        <w:t>投标人</w:t>
      </w:r>
      <w:r>
        <w:rPr>
          <w:rFonts w:ascii="Times New Roman" w:hAnsi="Times New Roman"/>
        </w:rPr>
        <w:t>应加强对职工进行施工安全教育，应按不同岗位安全教育规定要求组织学习。工人上岗前应进行安全操作的培训和考核，合格者才准上岗。</w:t>
      </w:r>
    </w:p>
    <w:p w14:paraId="7846BDF4">
      <w:pPr>
        <w:pStyle w:val="41"/>
        <w:spacing w:line="360" w:lineRule="auto"/>
        <w:ind w:firstLine="480"/>
        <w:rPr>
          <w:rFonts w:ascii="Times New Roman" w:hAnsi="Times New Roman"/>
        </w:rPr>
      </w:pPr>
      <w:r>
        <w:rPr>
          <w:rFonts w:ascii="Times New Roman" w:hAnsi="Times New Roman"/>
        </w:rPr>
        <w:t>（6）</w:t>
      </w:r>
      <w:r>
        <w:rPr>
          <w:rFonts w:hint="eastAsia" w:ascii="Times New Roman" w:hAnsi="Times New Roman"/>
          <w:lang w:eastAsia="zh-CN"/>
        </w:rPr>
        <w:t>投标人</w:t>
      </w:r>
      <w:r>
        <w:rPr>
          <w:rFonts w:ascii="Times New Roman" w:hAnsi="Times New Roman"/>
        </w:rPr>
        <w:t>应为施工作业人员配置必需的劳动保护用品。</w:t>
      </w:r>
      <w:r>
        <w:rPr>
          <w:rFonts w:hint="eastAsia" w:ascii="Times New Roman" w:hAnsi="Times New Roman"/>
          <w:lang w:eastAsia="zh-CN"/>
        </w:rPr>
        <w:t>投标人</w:t>
      </w:r>
      <w:r>
        <w:rPr>
          <w:rFonts w:ascii="Times New Roman" w:hAnsi="Times New Roman"/>
        </w:rPr>
        <w:t>应对其施工安全措施不到位而发生的安全事故承担责任。</w:t>
      </w:r>
    </w:p>
    <w:p w14:paraId="79FD7D70">
      <w:pPr>
        <w:pStyle w:val="41"/>
        <w:spacing w:line="360" w:lineRule="auto"/>
        <w:ind w:firstLine="480"/>
        <w:rPr>
          <w:rFonts w:ascii="Times New Roman" w:hAnsi="Times New Roman"/>
        </w:rPr>
      </w:pPr>
      <w:r>
        <w:rPr>
          <w:rFonts w:ascii="Times New Roman" w:hAnsi="Times New Roman"/>
        </w:rPr>
        <w:t>（7）</w:t>
      </w:r>
      <w:r>
        <w:rPr>
          <w:rFonts w:hint="eastAsia" w:ascii="Times New Roman" w:hAnsi="Times New Roman"/>
          <w:lang w:eastAsia="zh-CN"/>
        </w:rPr>
        <w:t>投标人</w:t>
      </w:r>
      <w:r>
        <w:rPr>
          <w:rFonts w:ascii="Times New Roman" w:hAnsi="Times New Roman"/>
        </w:rPr>
        <w:t>应建立安全考核机制，每年对各级人员安全生产责任制的落实情况实施考核。</w:t>
      </w:r>
    </w:p>
    <w:p w14:paraId="59FC1C17">
      <w:pPr>
        <w:pStyle w:val="41"/>
        <w:spacing w:line="360" w:lineRule="auto"/>
        <w:ind w:firstLine="480"/>
        <w:rPr>
          <w:rFonts w:ascii="Times New Roman" w:hAnsi="Times New Roman"/>
        </w:rPr>
      </w:pPr>
      <w:r>
        <w:rPr>
          <w:rFonts w:ascii="Times New Roman" w:hAnsi="Times New Roman"/>
        </w:rPr>
        <w:t>（8）</w:t>
      </w:r>
      <w:r>
        <w:rPr>
          <w:rFonts w:hint="eastAsia" w:ascii="Times New Roman" w:hAnsi="Times New Roman"/>
          <w:lang w:eastAsia="zh-CN"/>
        </w:rPr>
        <w:t>投标人</w:t>
      </w:r>
      <w:r>
        <w:rPr>
          <w:rFonts w:ascii="Times New Roman" w:hAnsi="Times New Roman"/>
        </w:rPr>
        <w:t>必须遵守国家颁布的有关安全规程。若</w:t>
      </w:r>
      <w:r>
        <w:rPr>
          <w:rFonts w:hint="eastAsia" w:ascii="Times New Roman" w:hAnsi="Times New Roman"/>
          <w:lang w:eastAsia="zh-CN"/>
        </w:rPr>
        <w:t>投标人</w:t>
      </w:r>
      <w:r>
        <w:rPr>
          <w:rFonts w:ascii="Times New Roman" w:hAnsi="Times New Roman"/>
        </w:rPr>
        <w:t>责任区内发生重大安全事故时，</w:t>
      </w:r>
      <w:r>
        <w:rPr>
          <w:rFonts w:hint="eastAsia" w:ascii="Times New Roman" w:hAnsi="Times New Roman"/>
          <w:lang w:eastAsia="zh-CN"/>
        </w:rPr>
        <w:t>投标人</w:t>
      </w:r>
      <w:r>
        <w:rPr>
          <w:rFonts w:ascii="Times New Roman" w:hAnsi="Times New Roman"/>
        </w:rPr>
        <w:t>应立即报告</w:t>
      </w:r>
      <w:r>
        <w:rPr>
          <w:rFonts w:hint="eastAsia" w:ascii="Times New Roman" w:hAnsi="Times New Roman"/>
          <w:lang w:eastAsia="zh-CN"/>
        </w:rPr>
        <w:t>招标人</w:t>
      </w:r>
      <w:r>
        <w:rPr>
          <w:rFonts w:ascii="Times New Roman" w:hAnsi="Times New Roman"/>
        </w:rPr>
        <w:t>，并在事故发生后24小时内提交事故情况的书面报告。</w:t>
      </w:r>
    </w:p>
    <w:p w14:paraId="2A07FC17">
      <w:pPr>
        <w:pStyle w:val="41"/>
        <w:spacing w:line="360" w:lineRule="auto"/>
        <w:ind w:firstLine="480"/>
        <w:rPr>
          <w:rFonts w:ascii="Times New Roman" w:hAnsi="Times New Roman"/>
        </w:rPr>
      </w:pPr>
      <w:r>
        <w:rPr>
          <w:rFonts w:ascii="Times New Roman" w:hAnsi="Times New Roman"/>
        </w:rPr>
        <w:t>（9）</w:t>
      </w:r>
      <w:r>
        <w:rPr>
          <w:rFonts w:hint="eastAsia" w:ascii="Times New Roman" w:hAnsi="Times New Roman"/>
          <w:lang w:eastAsia="zh-CN"/>
        </w:rPr>
        <w:t>投标人</w:t>
      </w:r>
      <w:r>
        <w:rPr>
          <w:rFonts w:ascii="Times New Roman" w:hAnsi="Times New Roman"/>
        </w:rPr>
        <w:t>应根据</w:t>
      </w:r>
      <w:r>
        <w:rPr>
          <w:rFonts w:hint="eastAsia" w:ascii="Times New Roman" w:hAnsi="Times New Roman"/>
          <w:lang w:eastAsia="zh-CN"/>
        </w:rPr>
        <w:t>招标人</w:t>
      </w:r>
      <w:r>
        <w:rPr>
          <w:rFonts w:ascii="Times New Roman" w:hAnsi="Times New Roman"/>
        </w:rPr>
        <w:t>安全生产标准化的要求开展安全施工建设的各项活动。</w:t>
      </w:r>
    </w:p>
    <w:p w14:paraId="316FE0C1">
      <w:pPr>
        <w:pStyle w:val="41"/>
        <w:spacing w:line="360" w:lineRule="auto"/>
        <w:ind w:firstLine="480"/>
        <w:rPr>
          <w:rFonts w:ascii="Times New Roman" w:hAnsi="Times New Roman"/>
        </w:rPr>
      </w:pPr>
      <w:r>
        <w:rPr>
          <w:rFonts w:ascii="Times New Roman" w:hAnsi="Times New Roman"/>
        </w:rPr>
        <w:t>（10）</w:t>
      </w:r>
      <w:r>
        <w:rPr>
          <w:rFonts w:hint="eastAsia" w:ascii="Times New Roman" w:hAnsi="Times New Roman"/>
          <w:lang w:eastAsia="zh-CN"/>
        </w:rPr>
        <w:t>投标人</w:t>
      </w:r>
      <w:r>
        <w:rPr>
          <w:rFonts w:ascii="Times New Roman" w:hAnsi="Times New Roman"/>
        </w:rPr>
        <w:t>应全面负责在承建工地上施工的文明管理，并使工程和工地保持良好的秩序，以避免发生人身事故，保证建构筑物和设备的安全。</w:t>
      </w:r>
    </w:p>
    <w:p w14:paraId="55658130">
      <w:pPr>
        <w:pStyle w:val="41"/>
        <w:spacing w:line="360" w:lineRule="auto"/>
        <w:ind w:firstLine="480"/>
        <w:rPr>
          <w:rFonts w:ascii="Times New Roman" w:hAnsi="Times New Roman"/>
        </w:rPr>
      </w:pPr>
      <w:r>
        <w:rPr>
          <w:rFonts w:ascii="Times New Roman" w:hAnsi="Times New Roman"/>
        </w:rPr>
        <w:t>（11）为了保护工程或为了公众及其他人员的安全及方便，在招标人或任何依法建立的主管机关所要求的时间和地点，</w:t>
      </w:r>
      <w:r>
        <w:rPr>
          <w:rFonts w:hint="eastAsia" w:ascii="Times New Roman" w:hAnsi="Times New Roman"/>
          <w:lang w:eastAsia="zh-CN"/>
        </w:rPr>
        <w:t>投标人</w:t>
      </w:r>
      <w:r>
        <w:rPr>
          <w:rFonts w:ascii="Times New Roman" w:hAnsi="Times New Roman"/>
        </w:rPr>
        <w:t>应提供并维修所有的照明、护栏、围墙、警告标志及守卫设施。</w:t>
      </w:r>
    </w:p>
    <w:p w14:paraId="53F4CE2F">
      <w:pPr>
        <w:pStyle w:val="41"/>
        <w:spacing w:line="360" w:lineRule="auto"/>
        <w:ind w:firstLine="480"/>
        <w:rPr>
          <w:rFonts w:ascii="Times New Roman" w:hAnsi="Times New Roman"/>
        </w:rPr>
      </w:pPr>
      <w:r>
        <w:rPr>
          <w:rFonts w:ascii="Times New Roman" w:hAnsi="Times New Roman"/>
        </w:rPr>
        <w:t>（12）</w:t>
      </w:r>
      <w:r>
        <w:rPr>
          <w:rFonts w:hint="eastAsia" w:ascii="Times New Roman" w:hAnsi="Times New Roman"/>
          <w:lang w:eastAsia="zh-CN"/>
        </w:rPr>
        <w:t>投标人</w:t>
      </w:r>
      <w:r>
        <w:rPr>
          <w:rFonts w:ascii="Times New Roman" w:hAnsi="Times New Roman"/>
        </w:rPr>
        <w:t>做好主干道至集控中心道路的交通调度工作</w:t>
      </w:r>
      <w:r>
        <w:rPr>
          <w:rFonts w:hint="eastAsia" w:ascii="Times New Roman" w:hAnsi="Times New Roman"/>
          <w:lang w:eastAsia="zh-CN"/>
        </w:rPr>
        <w:t>，</w:t>
      </w:r>
      <w:r>
        <w:rPr>
          <w:rFonts w:hint="eastAsia" w:ascii="Times New Roman" w:hAnsi="Times New Roman"/>
          <w:lang w:val="en-US" w:eastAsia="zh-CN"/>
        </w:rPr>
        <w:t>相关费用包含在投标人报价中</w:t>
      </w:r>
      <w:r>
        <w:rPr>
          <w:rFonts w:ascii="Times New Roman" w:hAnsi="Times New Roman"/>
        </w:rPr>
        <w:t>。采取一切合理措施，保护工地及工地周围的环境，避免各类污染、扰民或由于其施工方法的不当造成的对公共人员和财产等的危害或干扰。</w:t>
      </w:r>
    </w:p>
    <w:p w14:paraId="0EA626EE">
      <w:pPr>
        <w:pStyle w:val="41"/>
        <w:spacing w:line="360" w:lineRule="auto"/>
        <w:ind w:firstLine="480"/>
        <w:rPr>
          <w:rFonts w:ascii="Times New Roman" w:hAnsi="Times New Roman"/>
        </w:rPr>
      </w:pPr>
      <w:r>
        <w:rPr>
          <w:rFonts w:ascii="Times New Roman" w:hAnsi="Times New Roman"/>
        </w:rPr>
        <w:t>（13）场地要求土方堆放整齐，有防止水土流失和满足环保要求抑尘的措施，场地内排水通畅，无积水。</w:t>
      </w:r>
    </w:p>
    <w:p w14:paraId="2407BFD3">
      <w:pPr>
        <w:pStyle w:val="41"/>
        <w:spacing w:line="360" w:lineRule="auto"/>
        <w:ind w:firstLine="480"/>
        <w:rPr>
          <w:rFonts w:ascii="Times New Roman" w:hAnsi="Times New Roman"/>
        </w:rPr>
      </w:pPr>
      <w:r>
        <w:rPr>
          <w:rFonts w:ascii="Times New Roman" w:hAnsi="Times New Roman"/>
        </w:rPr>
        <w:t>（14）</w:t>
      </w:r>
      <w:r>
        <w:rPr>
          <w:rFonts w:hint="eastAsia" w:ascii="Times New Roman" w:hAnsi="Times New Roman"/>
          <w:lang w:eastAsia="zh-CN"/>
        </w:rPr>
        <w:t>投标人</w:t>
      </w:r>
      <w:r>
        <w:rPr>
          <w:rFonts w:ascii="Times New Roman" w:hAnsi="Times New Roman"/>
        </w:rPr>
        <w:t>在工地实行“封闭</w:t>
      </w:r>
      <w:r>
        <w:rPr>
          <w:rFonts w:hint="eastAsia" w:ascii="Times New Roman" w:hAnsi="Times New Roman"/>
          <w:lang w:val="en-US" w:eastAsia="zh-CN"/>
        </w:rPr>
        <w:t>式</w:t>
      </w:r>
      <w:r>
        <w:rPr>
          <w:rFonts w:ascii="Times New Roman" w:hAnsi="Times New Roman"/>
        </w:rPr>
        <w:t>管理”，设备材料定置、定位管理。</w:t>
      </w:r>
    </w:p>
    <w:p w14:paraId="08BF2BE9">
      <w:pPr>
        <w:pStyle w:val="41"/>
        <w:spacing w:line="360" w:lineRule="auto"/>
        <w:ind w:firstLine="480"/>
        <w:rPr>
          <w:rFonts w:ascii="Times New Roman" w:hAnsi="Times New Roman"/>
        </w:rPr>
      </w:pPr>
      <w:r>
        <w:rPr>
          <w:rFonts w:ascii="Times New Roman" w:hAnsi="Times New Roman"/>
        </w:rPr>
        <w:t>（15）</w:t>
      </w:r>
      <w:r>
        <w:rPr>
          <w:rFonts w:hint="eastAsia" w:ascii="Times New Roman" w:hAnsi="Times New Roman"/>
          <w:lang w:eastAsia="zh-CN"/>
        </w:rPr>
        <w:t>投标人</w:t>
      </w:r>
      <w:r>
        <w:rPr>
          <w:rFonts w:ascii="Times New Roman" w:hAnsi="Times New Roman"/>
        </w:rPr>
        <w:t>根据工程地质及水文气象条件对标段范围内的临时排水、排污系统负责修建和完善，符合文明施工的要求。</w:t>
      </w:r>
    </w:p>
    <w:p w14:paraId="358080A1">
      <w:pPr>
        <w:pStyle w:val="41"/>
        <w:spacing w:line="360" w:lineRule="auto"/>
        <w:ind w:firstLine="480"/>
        <w:rPr>
          <w:rFonts w:ascii="Times New Roman" w:hAnsi="Times New Roman"/>
        </w:rPr>
      </w:pPr>
      <w:r>
        <w:rPr>
          <w:rFonts w:ascii="Times New Roman" w:hAnsi="Times New Roman"/>
        </w:rPr>
        <w:t>（16）场内积水、废水排放应符合环保及当地有关部门的要求。运输车辆尾气排放标准、运输过程中污染控制等符合当地有关部门的要求。</w:t>
      </w:r>
    </w:p>
    <w:p w14:paraId="52FC072C">
      <w:pPr>
        <w:numPr>
          <w:ilvl w:val="2"/>
          <w:numId w:val="9"/>
        </w:numPr>
        <w:adjustRightInd w:val="0"/>
        <w:spacing w:line="360" w:lineRule="auto"/>
        <w:ind w:left="0" w:firstLine="482"/>
        <w:rPr>
          <w:b/>
        </w:rPr>
      </w:pPr>
      <w:bookmarkStart w:id="385" w:name="_Toc391393492"/>
      <w:r>
        <w:rPr>
          <w:b/>
        </w:rPr>
        <w:t>主要提交件</w:t>
      </w:r>
      <w:bookmarkEnd w:id="385"/>
    </w:p>
    <w:p w14:paraId="3AAB0CCD">
      <w:pPr>
        <w:pStyle w:val="41"/>
        <w:spacing w:line="360" w:lineRule="auto"/>
        <w:ind w:firstLine="480"/>
        <w:rPr>
          <w:rFonts w:ascii="Times New Roman" w:hAnsi="Times New Roman"/>
        </w:rPr>
      </w:pPr>
      <w:r>
        <w:rPr>
          <w:rFonts w:ascii="Times New Roman" w:hAnsi="Times New Roman"/>
        </w:rPr>
        <w:t>（1）</w:t>
      </w:r>
      <w:r>
        <w:rPr>
          <w:rFonts w:hint="eastAsia" w:ascii="Times New Roman" w:hAnsi="Times New Roman"/>
          <w:lang w:eastAsia="zh-CN"/>
        </w:rPr>
        <w:t>投标人</w:t>
      </w:r>
      <w:r>
        <w:rPr>
          <w:rFonts w:ascii="Times New Roman" w:hAnsi="Times New Roman"/>
        </w:rPr>
        <w:t>应在本工程开工前</w:t>
      </w:r>
      <w:r>
        <w:rPr>
          <w:rFonts w:ascii="Times New Roman" w:hAnsi="Times New Roman"/>
          <w:u w:val="single"/>
        </w:rPr>
        <w:t xml:space="preserve">   7  </w:t>
      </w:r>
      <w:r>
        <w:rPr>
          <w:rFonts w:ascii="Times New Roman" w:hAnsi="Times New Roman"/>
        </w:rPr>
        <w:t>天，根据《中华人民共和国安全生产法》、《中华人民共和国消防法》、《中华人民共和国道路交通安全法》、《中华人民共和国传染病防治法》等国家行业和地方有关法规，编制一份施工安全措施计划，提交</w:t>
      </w:r>
      <w:r>
        <w:rPr>
          <w:rFonts w:hint="eastAsia" w:ascii="Times New Roman" w:hAnsi="Times New Roman"/>
          <w:lang w:eastAsia="zh-CN"/>
        </w:rPr>
        <w:t>招标人</w:t>
      </w:r>
      <w:r>
        <w:rPr>
          <w:rFonts w:ascii="Times New Roman" w:hAnsi="Times New Roman"/>
        </w:rPr>
        <w:t>批准。</w:t>
      </w:r>
    </w:p>
    <w:p w14:paraId="72FB552B">
      <w:pPr>
        <w:pStyle w:val="41"/>
        <w:spacing w:line="360" w:lineRule="auto"/>
        <w:ind w:firstLine="480"/>
        <w:rPr>
          <w:rFonts w:ascii="Times New Roman" w:hAnsi="Times New Roman"/>
        </w:rPr>
      </w:pPr>
      <w:r>
        <w:rPr>
          <w:rFonts w:ascii="Times New Roman" w:hAnsi="Times New Roman"/>
        </w:rPr>
        <w:t>（2）</w:t>
      </w:r>
      <w:r>
        <w:rPr>
          <w:rFonts w:hint="eastAsia" w:ascii="Times New Roman" w:hAnsi="Times New Roman"/>
          <w:lang w:eastAsia="zh-CN"/>
        </w:rPr>
        <w:t>投标人</w:t>
      </w:r>
      <w:r>
        <w:rPr>
          <w:rFonts w:ascii="Times New Roman" w:hAnsi="Times New Roman"/>
        </w:rPr>
        <w:t>应在本工程开工前提供各级人员的安全资质证明材料，提交</w:t>
      </w:r>
      <w:r>
        <w:rPr>
          <w:rFonts w:hint="eastAsia" w:ascii="Times New Roman" w:hAnsi="Times New Roman"/>
          <w:lang w:eastAsia="zh-CN"/>
        </w:rPr>
        <w:t>招标人</w:t>
      </w:r>
      <w:r>
        <w:rPr>
          <w:rFonts w:ascii="Times New Roman" w:hAnsi="Times New Roman"/>
        </w:rPr>
        <w:t>审查。</w:t>
      </w:r>
    </w:p>
    <w:p w14:paraId="642AC430">
      <w:pPr>
        <w:pStyle w:val="41"/>
        <w:spacing w:line="360" w:lineRule="auto"/>
        <w:ind w:firstLine="480"/>
        <w:rPr>
          <w:rFonts w:ascii="Times New Roman" w:hAnsi="Times New Roman"/>
        </w:rPr>
      </w:pPr>
      <w:r>
        <w:rPr>
          <w:rFonts w:ascii="Times New Roman" w:hAnsi="Times New Roman"/>
        </w:rPr>
        <w:t>（3）</w:t>
      </w:r>
      <w:r>
        <w:rPr>
          <w:rFonts w:hint="eastAsia" w:ascii="Times New Roman" w:hAnsi="Times New Roman"/>
          <w:lang w:eastAsia="zh-CN"/>
        </w:rPr>
        <w:t>投标人</w:t>
      </w:r>
      <w:r>
        <w:rPr>
          <w:rFonts w:ascii="Times New Roman" w:hAnsi="Times New Roman"/>
        </w:rPr>
        <w:t>应在每月的进度报告中，按本章规定的各项安全工作内容，详细说明本工程安全措施计划的实施情况，以及按规定的格式提交安全检查和事故处理记录。</w:t>
      </w:r>
    </w:p>
    <w:p w14:paraId="47A58C81">
      <w:pPr>
        <w:numPr>
          <w:ilvl w:val="2"/>
          <w:numId w:val="9"/>
        </w:numPr>
        <w:adjustRightInd w:val="0"/>
        <w:spacing w:line="360" w:lineRule="auto"/>
        <w:ind w:left="0" w:firstLine="482"/>
      </w:pPr>
      <w:bookmarkStart w:id="386" w:name="_Toc391393493"/>
      <w:r>
        <w:rPr>
          <w:b/>
        </w:rPr>
        <w:t xml:space="preserve"> 引用的法律法规</w:t>
      </w:r>
      <w:bookmarkEnd w:id="386"/>
    </w:p>
    <w:p w14:paraId="19179516">
      <w:pPr>
        <w:pStyle w:val="41"/>
        <w:spacing w:line="360" w:lineRule="auto"/>
        <w:ind w:firstLine="480"/>
        <w:rPr>
          <w:rFonts w:ascii="Times New Roman" w:hAnsi="Times New Roman"/>
          <w:b/>
        </w:rPr>
      </w:pPr>
      <w:r>
        <w:rPr>
          <w:rFonts w:ascii="Times New Roman" w:hAnsi="Times New Roman"/>
        </w:rPr>
        <w:t>中华人民共和国《安全生产法》</w:t>
      </w:r>
    </w:p>
    <w:p w14:paraId="04AA1868">
      <w:pPr>
        <w:pStyle w:val="41"/>
        <w:spacing w:line="360" w:lineRule="auto"/>
        <w:ind w:firstLine="480"/>
        <w:rPr>
          <w:rFonts w:ascii="Times New Roman" w:hAnsi="Times New Roman"/>
        </w:rPr>
      </w:pPr>
      <w:r>
        <w:rPr>
          <w:rFonts w:ascii="Times New Roman" w:hAnsi="Times New Roman"/>
        </w:rPr>
        <w:t>中华人民共和国《劳动法》</w:t>
      </w:r>
    </w:p>
    <w:p w14:paraId="016B95CC">
      <w:pPr>
        <w:pStyle w:val="41"/>
        <w:spacing w:line="360" w:lineRule="auto"/>
        <w:ind w:firstLine="480"/>
        <w:rPr>
          <w:rFonts w:ascii="Times New Roman" w:hAnsi="Times New Roman"/>
        </w:rPr>
      </w:pPr>
      <w:r>
        <w:rPr>
          <w:rFonts w:ascii="Times New Roman" w:hAnsi="Times New Roman"/>
        </w:rPr>
        <w:t>中华人民共和国《消防法》</w:t>
      </w:r>
    </w:p>
    <w:p w14:paraId="387309AB">
      <w:pPr>
        <w:pStyle w:val="41"/>
        <w:spacing w:line="360" w:lineRule="auto"/>
        <w:ind w:firstLine="480"/>
        <w:rPr>
          <w:rFonts w:ascii="Times New Roman" w:hAnsi="Times New Roman"/>
        </w:rPr>
      </w:pPr>
      <w:r>
        <w:rPr>
          <w:rFonts w:ascii="Times New Roman" w:hAnsi="Times New Roman"/>
        </w:rPr>
        <w:t>中华人民共和国《环境保护法》</w:t>
      </w:r>
    </w:p>
    <w:p w14:paraId="5F5EBFED">
      <w:pPr>
        <w:pStyle w:val="41"/>
        <w:spacing w:line="360" w:lineRule="auto"/>
        <w:ind w:firstLine="480"/>
        <w:rPr>
          <w:rFonts w:ascii="Times New Roman" w:hAnsi="Times New Roman"/>
        </w:rPr>
      </w:pPr>
      <w:r>
        <w:rPr>
          <w:rFonts w:ascii="Times New Roman" w:hAnsi="Times New Roman"/>
        </w:rPr>
        <w:t>中华人民共和国《职业病防治法》</w:t>
      </w:r>
    </w:p>
    <w:p w14:paraId="190C8325">
      <w:pPr>
        <w:pStyle w:val="41"/>
        <w:spacing w:line="360" w:lineRule="auto"/>
        <w:ind w:firstLine="480"/>
        <w:rPr>
          <w:rFonts w:ascii="Times New Roman" w:hAnsi="Times New Roman"/>
        </w:rPr>
      </w:pPr>
      <w:r>
        <w:rPr>
          <w:rFonts w:ascii="Times New Roman" w:hAnsi="Times New Roman"/>
        </w:rPr>
        <w:t>中华人民共和国《道路交通安全法》</w:t>
      </w:r>
    </w:p>
    <w:p w14:paraId="336FE474">
      <w:pPr>
        <w:pStyle w:val="41"/>
        <w:spacing w:line="360" w:lineRule="auto"/>
        <w:ind w:firstLine="480"/>
        <w:rPr>
          <w:rFonts w:ascii="Times New Roman" w:hAnsi="Times New Roman"/>
        </w:rPr>
      </w:pPr>
      <w:r>
        <w:rPr>
          <w:rFonts w:ascii="Times New Roman" w:hAnsi="Times New Roman"/>
        </w:rPr>
        <w:t>国务院《建设工程安全生产管理条例》</w:t>
      </w:r>
    </w:p>
    <w:p w14:paraId="512DBF3C">
      <w:pPr>
        <w:pStyle w:val="41"/>
        <w:spacing w:line="360" w:lineRule="auto"/>
        <w:ind w:firstLine="480"/>
        <w:rPr>
          <w:rFonts w:ascii="Times New Roman" w:hAnsi="Times New Roman"/>
        </w:rPr>
      </w:pPr>
      <w:r>
        <w:rPr>
          <w:rFonts w:ascii="Times New Roman" w:hAnsi="Times New Roman"/>
        </w:rPr>
        <w:t>国务院《关于进一步加强安全生产工作的决定》</w:t>
      </w:r>
    </w:p>
    <w:p w14:paraId="0353965B">
      <w:pPr>
        <w:pStyle w:val="41"/>
        <w:spacing w:line="360" w:lineRule="auto"/>
        <w:ind w:firstLine="480"/>
        <w:rPr>
          <w:rFonts w:ascii="Times New Roman" w:hAnsi="Times New Roman"/>
        </w:rPr>
      </w:pPr>
      <w:r>
        <w:rPr>
          <w:rFonts w:ascii="Times New Roman" w:hAnsi="Times New Roman"/>
        </w:rPr>
        <w:t>国务院《生产安全事故报告和调查处理条例》</w:t>
      </w:r>
    </w:p>
    <w:p w14:paraId="43CFE289">
      <w:pPr>
        <w:pStyle w:val="41"/>
        <w:spacing w:line="360" w:lineRule="auto"/>
        <w:ind w:firstLine="480"/>
        <w:rPr>
          <w:rFonts w:ascii="Times New Roman" w:hAnsi="Times New Roman"/>
        </w:rPr>
      </w:pPr>
      <w:r>
        <w:rPr>
          <w:rFonts w:ascii="Times New Roman" w:hAnsi="Times New Roman"/>
        </w:rPr>
        <w:t>国务院《特种设备安全法》</w:t>
      </w:r>
    </w:p>
    <w:p w14:paraId="2ED920CD">
      <w:pPr>
        <w:pStyle w:val="41"/>
        <w:spacing w:line="360" w:lineRule="auto"/>
        <w:ind w:firstLine="480"/>
        <w:rPr>
          <w:rFonts w:ascii="Times New Roman" w:hAnsi="Times New Roman"/>
        </w:rPr>
      </w:pPr>
      <w:r>
        <w:rPr>
          <w:rFonts w:ascii="Times New Roman" w:hAnsi="Times New Roman"/>
        </w:rPr>
        <w:t>国务院《工伤保险条例》</w:t>
      </w:r>
    </w:p>
    <w:p w14:paraId="2EAAC4ED">
      <w:pPr>
        <w:pStyle w:val="41"/>
        <w:spacing w:line="360" w:lineRule="auto"/>
        <w:ind w:firstLine="480"/>
        <w:rPr>
          <w:rFonts w:ascii="Times New Roman" w:hAnsi="Times New Roman"/>
        </w:rPr>
      </w:pPr>
      <w:r>
        <w:rPr>
          <w:rFonts w:ascii="Times New Roman" w:hAnsi="Times New Roman"/>
        </w:rPr>
        <w:t>财政部、国家安全生产监督总局关于印发《高危行业企业安全生产费用财务管理暂行办法》的通知</w:t>
      </w:r>
    </w:p>
    <w:p w14:paraId="11AC907A">
      <w:pPr>
        <w:pStyle w:val="41"/>
        <w:spacing w:line="360" w:lineRule="auto"/>
        <w:ind w:firstLine="480"/>
        <w:rPr>
          <w:rFonts w:ascii="Times New Roman" w:hAnsi="Times New Roman"/>
        </w:rPr>
      </w:pPr>
      <w:r>
        <w:rPr>
          <w:rFonts w:ascii="Times New Roman" w:hAnsi="Times New Roman"/>
        </w:rPr>
        <w:t>建设部《建筑工程安全防护、文明施工措施费用及使用管理规定》（建办[2005]89号)</w:t>
      </w:r>
    </w:p>
    <w:p w14:paraId="7BDAFB26">
      <w:pPr>
        <w:pStyle w:val="41"/>
        <w:spacing w:line="360" w:lineRule="auto"/>
        <w:ind w:firstLine="480"/>
        <w:rPr>
          <w:rFonts w:ascii="Times New Roman" w:hAnsi="Times New Roman"/>
        </w:rPr>
      </w:pPr>
      <w:r>
        <w:rPr>
          <w:rFonts w:ascii="Times New Roman" w:hAnsi="Times New Roman"/>
        </w:rPr>
        <w:t>卫生部《建设项目职业病危害分类管理办法》</w:t>
      </w:r>
    </w:p>
    <w:p w14:paraId="1E674FB1">
      <w:pPr>
        <w:pStyle w:val="41"/>
        <w:spacing w:line="360" w:lineRule="auto"/>
        <w:ind w:firstLine="480"/>
        <w:rPr>
          <w:rFonts w:ascii="Times New Roman" w:hAnsi="Times New Roman"/>
        </w:rPr>
      </w:pPr>
      <w:r>
        <w:rPr>
          <w:rFonts w:ascii="Times New Roman" w:hAnsi="Times New Roman"/>
        </w:rPr>
        <w:t>国家电网公司《电力建设安全健康与环</w:t>
      </w:r>
      <w:r>
        <w:rPr>
          <w:rStyle w:val="39"/>
          <w:rFonts w:ascii="Times New Roman" w:hAnsi="Times New Roman"/>
        </w:rPr>
        <w:t>境管理工作规定》（</w:t>
      </w:r>
      <w:r>
        <w:rPr>
          <w:rFonts w:ascii="Times New Roman" w:hAnsi="Times New Roman"/>
        </w:rPr>
        <w:t>[2003]168号）</w:t>
      </w:r>
    </w:p>
    <w:p w14:paraId="505B7746">
      <w:pPr>
        <w:pStyle w:val="41"/>
        <w:spacing w:line="360" w:lineRule="auto"/>
        <w:ind w:firstLine="480"/>
        <w:rPr>
          <w:rFonts w:ascii="Times New Roman" w:hAnsi="Times New Roman"/>
        </w:rPr>
      </w:pPr>
      <w:r>
        <w:rPr>
          <w:rFonts w:ascii="Times New Roman" w:hAnsi="Times New Roman"/>
        </w:rPr>
        <w:t>国家电监会关于印发《电力建设安全生产监督管理办法》的通知（电监安全2007年38号）</w:t>
      </w:r>
    </w:p>
    <w:p w14:paraId="7417506B">
      <w:pPr>
        <w:numPr>
          <w:ilvl w:val="2"/>
          <w:numId w:val="9"/>
        </w:numPr>
        <w:adjustRightInd w:val="0"/>
        <w:spacing w:line="360" w:lineRule="auto"/>
        <w:ind w:left="0" w:firstLine="482"/>
        <w:rPr>
          <w:b/>
        </w:rPr>
      </w:pPr>
      <w:bookmarkStart w:id="387" w:name="_Toc391393494"/>
      <w:r>
        <w:rPr>
          <w:b/>
        </w:rPr>
        <w:t xml:space="preserve"> 引用标准</w:t>
      </w:r>
      <w:bookmarkEnd w:id="387"/>
    </w:p>
    <w:p w14:paraId="71A609DC">
      <w:pPr>
        <w:pStyle w:val="41"/>
        <w:spacing w:line="360" w:lineRule="auto"/>
        <w:ind w:firstLine="480"/>
        <w:rPr>
          <w:rFonts w:ascii="Times New Roman" w:hAnsi="Times New Roman"/>
        </w:rPr>
      </w:pPr>
      <w:r>
        <w:rPr>
          <w:rFonts w:ascii="Times New Roman" w:hAnsi="Times New Roman"/>
        </w:rPr>
        <w:t>《工程建设标准强制性条文》</w:t>
      </w:r>
    </w:p>
    <w:p w14:paraId="26F5D653">
      <w:pPr>
        <w:pStyle w:val="41"/>
        <w:spacing w:line="360" w:lineRule="auto"/>
        <w:ind w:firstLine="480"/>
        <w:rPr>
          <w:rFonts w:ascii="Times New Roman" w:hAnsi="Times New Roman"/>
        </w:rPr>
      </w:pPr>
      <w:r>
        <w:rPr>
          <w:rFonts w:ascii="Times New Roman" w:hAnsi="Times New Roman"/>
        </w:rPr>
        <w:t>《企业安全生产标准化基本规范》（AQ/T 9006）</w:t>
      </w:r>
    </w:p>
    <w:p w14:paraId="0CE6BF62">
      <w:pPr>
        <w:pStyle w:val="41"/>
        <w:spacing w:line="360" w:lineRule="auto"/>
        <w:ind w:firstLine="480"/>
        <w:rPr>
          <w:rFonts w:ascii="Times New Roman" w:hAnsi="Times New Roman"/>
        </w:rPr>
      </w:pPr>
      <w:r>
        <w:rPr>
          <w:rFonts w:ascii="Times New Roman" w:hAnsi="Times New Roman"/>
        </w:rPr>
        <w:t>《建筑施工安全技术统一规范》（GB50870）</w:t>
      </w:r>
    </w:p>
    <w:p w14:paraId="03C80514">
      <w:pPr>
        <w:pStyle w:val="41"/>
        <w:spacing w:line="360" w:lineRule="auto"/>
        <w:ind w:firstLine="480"/>
        <w:rPr>
          <w:rFonts w:ascii="Times New Roman" w:hAnsi="Times New Roman"/>
        </w:rPr>
      </w:pPr>
      <w:r>
        <w:rPr>
          <w:rFonts w:ascii="Times New Roman" w:hAnsi="Times New Roman"/>
        </w:rPr>
        <w:t>《</w:t>
      </w:r>
      <w:r>
        <w:rPr>
          <w:rFonts w:ascii="Times New Roman" w:hAnsi="Times New Roman"/>
          <w:kern w:val="0"/>
        </w:rPr>
        <w:t>工业企业厂界噪声标准</w:t>
      </w:r>
      <w:r>
        <w:rPr>
          <w:rFonts w:ascii="Times New Roman" w:hAnsi="Times New Roman"/>
        </w:rPr>
        <w:t>》</w:t>
      </w:r>
      <w:r>
        <w:rPr>
          <w:rFonts w:ascii="Times New Roman" w:hAnsi="Times New Roman"/>
          <w:kern w:val="0"/>
        </w:rPr>
        <w:t>（GB12348）</w:t>
      </w:r>
    </w:p>
    <w:p w14:paraId="7024E7B3">
      <w:pPr>
        <w:pStyle w:val="41"/>
        <w:spacing w:line="360" w:lineRule="auto"/>
        <w:ind w:firstLine="480"/>
        <w:rPr>
          <w:rFonts w:ascii="Times New Roman" w:hAnsi="Times New Roman"/>
        </w:rPr>
      </w:pPr>
      <w:r>
        <w:rPr>
          <w:rFonts w:ascii="Times New Roman" w:hAnsi="Times New Roman"/>
        </w:rPr>
        <w:t>《</w:t>
      </w:r>
      <w:r>
        <w:rPr>
          <w:rFonts w:ascii="Times New Roman" w:hAnsi="Times New Roman"/>
          <w:kern w:val="0"/>
        </w:rPr>
        <w:t>污水综合排放标准</w:t>
      </w:r>
      <w:r>
        <w:rPr>
          <w:rFonts w:ascii="Times New Roman" w:hAnsi="Times New Roman"/>
        </w:rPr>
        <w:t>》</w:t>
      </w:r>
      <w:r>
        <w:rPr>
          <w:rFonts w:ascii="Times New Roman" w:hAnsi="Times New Roman"/>
          <w:kern w:val="0"/>
        </w:rPr>
        <w:t>（GB8978）</w:t>
      </w:r>
    </w:p>
    <w:p w14:paraId="661BC838">
      <w:pPr>
        <w:pStyle w:val="41"/>
        <w:spacing w:line="360" w:lineRule="auto"/>
        <w:ind w:firstLine="480"/>
        <w:rPr>
          <w:rFonts w:ascii="Times New Roman" w:hAnsi="Times New Roman"/>
        </w:rPr>
      </w:pPr>
      <w:r>
        <w:rPr>
          <w:rFonts w:ascii="Times New Roman" w:hAnsi="Times New Roman"/>
        </w:rPr>
        <w:t>《安全色》（GB2893）</w:t>
      </w:r>
    </w:p>
    <w:p w14:paraId="4D1307A8">
      <w:pPr>
        <w:pStyle w:val="41"/>
        <w:spacing w:line="360" w:lineRule="auto"/>
        <w:ind w:firstLine="480"/>
        <w:rPr>
          <w:rFonts w:ascii="Times New Roman" w:hAnsi="Times New Roman"/>
        </w:rPr>
      </w:pPr>
      <w:r>
        <w:rPr>
          <w:rFonts w:ascii="Times New Roman" w:hAnsi="Times New Roman"/>
        </w:rPr>
        <w:t>《电力建设安全工作规程第1部分》（DLT5009.1）</w:t>
      </w:r>
    </w:p>
    <w:p w14:paraId="780CFEEA">
      <w:pPr>
        <w:pStyle w:val="41"/>
        <w:spacing w:line="360" w:lineRule="auto"/>
        <w:ind w:firstLine="480"/>
        <w:rPr>
          <w:rFonts w:ascii="Times New Roman" w:hAnsi="Times New Roman"/>
        </w:rPr>
      </w:pPr>
      <w:r>
        <w:rPr>
          <w:rFonts w:ascii="Times New Roman" w:hAnsi="Times New Roman"/>
        </w:rPr>
        <w:t>《建筑施工安全检查标准》（JGJ59）</w:t>
      </w:r>
    </w:p>
    <w:p w14:paraId="4B355E70">
      <w:pPr>
        <w:pStyle w:val="41"/>
        <w:spacing w:line="360" w:lineRule="auto"/>
        <w:ind w:firstLine="480"/>
        <w:rPr>
          <w:rFonts w:ascii="Times New Roman" w:hAnsi="Times New Roman"/>
        </w:rPr>
      </w:pPr>
      <w:r>
        <w:rPr>
          <w:rFonts w:ascii="Times New Roman" w:hAnsi="Times New Roman"/>
        </w:rPr>
        <w:t>《施工现场临时用电安全技术规范》（JGJ46）</w:t>
      </w:r>
    </w:p>
    <w:p w14:paraId="070AED02">
      <w:pPr>
        <w:pStyle w:val="41"/>
        <w:spacing w:line="360" w:lineRule="auto"/>
        <w:ind w:firstLine="480"/>
        <w:rPr>
          <w:rFonts w:ascii="Times New Roman" w:hAnsi="Times New Roman"/>
        </w:rPr>
      </w:pPr>
      <w:r>
        <w:rPr>
          <w:rFonts w:ascii="Times New Roman" w:hAnsi="Times New Roman"/>
        </w:rPr>
        <w:t>《建筑机械使用安全技术规程》（</w:t>
      </w:r>
      <w:r>
        <w:fldChar w:fldCharType="begin"/>
      </w:r>
      <w:r>
        <w:instrText xml:space="preserve"> HYPERLINK "http://www.jdzj.com/hot/article/2006-11-23/10278-1.htm" \t "_blank" </w:instrText>
      </w:r>
      <w:r>
        <w:fldChar w:fldCharType="separate"/>
      </w:r>
      <w:r>
        <w:rPr>
          <w:rFonts w:ascii="Times New Roman" w:hAnsi="Times New Roman"/>
        </w:rPr>
        <w:t>JGJ33</w:t>
      </w:r>
      <w:r>
        <w:rPr>
          <w:rFonts w:ascii="Times New Roman" w:hAnsi="Times New Roman"/>
        </w:rPr>
        <w:fldChar w:fldCharType="end"/>
      </w:r>
      <w:r>
        <w:rPr>
          <w:rFonts w:ascii="Times New Roman" w:hAnsi="Times New Roman"/>
        </w:rPr>
        <w:t>）</w:t>
      </w:r>
    </w:p>
    <w:p w14:paraId="76ADDA12">
      <w:pPr>
        <w:adjustRightInd w:val="0"/>
        <w:spacing w:line="360" w:lineRule="auto"/>
        <w:ind w:firstLine="480"/>
      </w:pPr>
      <w:r>
        <w:t>国家有关部、委、各级政府部门和上级主管部门颁发的有关安全生产和环境保护工作的其它法令、法规、规定和制度。</w:t>
      </w:r>
    </w:p>
    <w:p w14:paraId="2BE3D148">
      <w:pPr>
        <w:adjustRightInd w:val="0"/>
        <w:spacing w:line="360" w:lineRule="auto"/>
        <w:ind w:firstLine="480"/>
      </w:pPr>
      <w:r>
        <w:rPr>
          <w:rFonts w:hint="eastAsia"/>
          <w:lang w:eastAsia="zh-CN"/>
        </w:rPr>
        <w:t>招标人</w:t>
      </w:r>
      <w:r>
        <w:t>有关安全文明施工及环境保护的规定、制度。</w:t>
      </w:r>
    </w:p>
    <w:p w14:paraId="5A669B19">
      <w:pPr>
        <w:pStyle w:val="41"/>
        <w:spacing w:line="360" w:lineRule="auto"/>
        <w:ind w:firstLine="480"/>
        <w:rPr>
          <w:rFonts w:ascii="Times New Roman" w:hAnsi="Times New Roman"/>
        </w:rPr>
      </w:pPr>
      <w:r>
        <w:rPr>
          <w:rFonts w:ascii="Times New Roman" w:hAnsi="Times New Roman"/>
        </w:rPr>
        <w:t>包括而不仅限于上述标准内容，</w:t>
      </w:r>
      <w:r>
        <w:rPr>
          <w:rFonts w:hint="eastAsia" w:ascii="Times New Roman" w:hAnsi="Times New Roman"/>
          <w:lang w:eastAsia="zh-CN"/>
        </w:rPr>
        <w:t>投标人</w:t>
      </w:r>
      <w:r>
        <w:rPr>
          <w:rFonts w:ascii="Times New Roman" w:hAnsi="Times New Roman"/>
        </w:rPr>
        <w:t>需自行根据国家最新颁布实施的有关标准进行更新。</w:t>
      </w:r>
    </w:p>
    <w:p w14:paraId="05B65F50">
      <w:pPr>
        <w:pStyle w:val="74"/>
        <w:tabs>
          <w:tab w:val="left" w:pos="0"/>
        </w:tabs>
        <w:adjustRightInd w:val="0"/>
        <w:snapToGrid w:val="0"/>
        <w:spacing w:line="360" w:lineRule="auto"/>
        <w:ind w:firstLine="482"/>
        <w:outlineLvl w:val="1"/>
        <w:rPr>
          <w:b/>
        </w:rPr>
      </w:pPr>
      <w:bookmarkStart w:id="388" w:name="_Toc393441035"/>
      <w:bookmarkStart w:id="389" w:name="_Toc13450"/>
      <w:bookmarkStart w:id="390" w:name="_Toc27400"/>
      <w:bookmarkStart w:id="391" w:name="_Toc3753"/>
      <w:bookmarkStart w:id="392" w:name="_Toc14036"/>
      <w:bookmarkStart w:id="393" w:name="_Toc16426"/>
      <w:bookmarkStart w:id="394" w:name="_Toc391393495"/>
      <w:bookmarkStart w:id="395" w:name="_Toc190958904"/>
      <w:r>
        <w:rPr>
          <w:b/>
        </w:rPr>
        <w:t>3.2 文明施工</w:t>
      </w:r>
      <w:bookmarkEnd w:id="388"/>
      <w:bookmarkEnd w:id="389"/>
      <w:bookmarkEnd w:id="390"/>
      <w:bookmarkEnd w:id="391"/>
      <w:bookmarkEnd w:id="392"/>
      <w:bookmarkEnd w:id="393"/>
      <w:bookmarkEnd w:id="394"/>
      <w:bookmarkEnd w:id="395"/>
    </w:p>
    <w:p w14:paraId="5DC7FC74">
      <w:pPr>
        <w:tabs>
          <w:tab w:val="left" w:pos="0"/>
          <w:tab w:val="left" w:pos="397"/>
        </w:tabs>
        <w:adjustRightInd w:val="0"/>
        <w:spacing w:line="360" w:lineRule="auto"/>
        <w:ind w:firstLine="482"/>
        <w:rPr>
          <w:b/>
        </w:rPr>
      </w:pPr>
      <w:bookmarkStart w:id="396" w:name="_Toc391393496"/>
      <w:r>
        <w:rPr>
          <w:b/>
        </w:rPr>
        <w:t>3.2.1 一般要求</w:t>
      </w:r>
      <w:bookmarkEnd w:id="396"/>
      <w:r>
        <w:rPr>
          <w:b/>
        </w:rPr>
        <w:t xml:space="preserve"> </w:t>
      </w:r>
    </w:p>
    <w:p w14:paraId="707448F2">
      <w:pPr>
        <w:pStyle w:val="41"/>
        <w:spacing w:line="360" w:lineRule="auto"/>
        <w:ind w:firstLine="480"/>
        <w:rPr>
          <w:rFonts w:ascii="Times New Roman" w:hAnsi="Times New Roman"/>
        </w:rPr>
      </w:pPr>
      <w:r>
        <w:rPr>
          <w:rFonts w:ascii="Times New Roman" w:hAnsi="Times New Roman"/>
        </w:rPr>
        <w:t>（1）</w:t>
      </w:r>
      <w:r>
        <w:rPr>
          <w:rFonts w:hint="eastAsia" w:ascii="Times New Roman" w:hAnsi="Times New Roman"/>
          <w:lang w:eastAsia="zh-CN"/>
        </w:rPr>
        <w:t>投标人</w:t>
      </w:r>
      <w:r>
        <w:rPr>
          <w:rFonts w:ascii="Times New Roman" w:hAnsi="Times New Roman"/>
        </w:rPr>
        <w:t>必须严格执行国家、行业和</w:t>
      </w:r>
      <w:r>
        <w:rPr>
          <w:rFonts w:hint="eastAsia" w:ascii="Times New Roman" w:hAnsi="Times New Roman"/>
          <w:lang w:eastAsia="zh-CN"/>
        </w:rPr>
        <w:t>招标人</w:t>
      </w:r>
      <w:r>
        <w:rPr>
          <w:rFonts w:ascii="Times New Roman" w:hAnsi="Times New Roman"/>
        </w:rPr>
        <w:t>关于绿色工地、文明施工管理的文件、规定。</w:t>
      </w:r>
    </w:p>
    <w:p w14:paraId="3F336260">
      <w:pPr>
        <w:pStyle w:val="41"/>
        <w:spacing w:line="360" w:lineRule="auto"/>
        <w:ind w:firstLine="480"/>
        <w:rPr>
          <w:rFonts w:ascii="Times New Roman" w:hAnsi="Times New Roman"/>
        </w:rPr>
      </w:pPr>
      <w:r>
        <w:rPr>
          <w:rFonts w:ascii="Times New Roman" w:hAnsi="Times New Roman"/>
        </w:rPr>
        <w:t>（2）</w:t>
      </w:r>
      <w:r>
        <w:rPr>
          <w:rFonts w:hint="eastAsia" w:ascii="Times New Roman" w:hAnsi="Times New Roman"/>
          <w:lang w:eastAsia="zh-CN"/>
        </w:rPr>
        <w:t>投标人</w:t>
      </w:r>
      <w:r>
        <w:rPr>
          <w:rFonts w:ascii="Times New Roman" w:hAnsi="Times New Roman"/>
        </w:rPr>
        <w:t>应建立文明施工管理机构，配备专职管理人员负责全面领导、协调其施工现场责任区域范围内的文明施工管理。</w:t>
      </w:r>
    </w:p>
    <w:p w14:paraId="1A9EBB3A">
      <w:pPr>
        <w:pStyle w:val="41"/>
        <w:spacing w:line="360" w:lineRule="auto"/>
        <w:ind w:firstLine="480"/>
        <w:rPr>
          <w:rFonts w:ascii="Times New Roman" w:hAnsi="Times New Roman"/>
        </w:rPr>
      </w:pPr>
      <w:r>
        <w:rPr>
          <w:rFonts w:ascii="Times New Roman" w:hAnsi="Times New Roman"/>
        </w:rPr>
        <w:t>（3）</w:t>
      </w:r>
      <w:r>
        <w:rPr>
          <w:rFonts w:hint="eastAsia" w:ascii="Times New Roman" w:hAnsi="Times New Roman"/>
          <w:lang w:eastAsia="zh-CN"/>
        </w:rPr>
        <w:t>投标人</w:t>
      </w:r>
      <w:r>
        <w:rPr>
          <w:rFonts w:ascii="Times New Roman" w:hAnsi="Times New Roman"/>
        </w:rPr>
        <w:t>应对其文明施工目标进行策划，按项目制定的安全文明施工总目标进行分解，确定可量化、可考核的文明施工目标。</w:t>
      </w:r>
    </w:p>
    <w:p w14:paraId="5BA251B5">
      <w:pPr>
        <w:pStyle w:val="41"/>
        <w:spacing w:line="360" w:lineRule="auto"/>
        <w:ind w:firstLine="480"/>
        <w:rPr>
          <w:rFonts w:ascii="Times New Roman" w:hAnsi="Times New Roman"/>
        </w:rPr>
      </w:pPr>
      <w:r>
        <w:rPr>
          <w:rFonts w:ascii="Times New Roman" w:hAnsi="Times New Roman"/>
        </w:rPr>
        <w:t>（4）</w:t>
      </w:r>
      <w:r>
        <w:rPr>
          <w:rFonts w:hint="eastAsia" w:ascii="Times New Roman" w:hAnsi="Times New Roman"/>
          <w:lang w:eastAsia="zh-CN"/>
        </w:rPr>
        <w:t>投标人</w:t>
      </w:r>
      <w:r>
        <w:rPr>
          <w:rFonts w:ascii="Times New Roman" w:hAnsi="Times New Roman"/>
        </w:rPr>
        <w:t>应做到施工区域定制化和模块化管理。在进行施工平面规划时，应进行装置型设施、安全设施、标志、标识牌式样的统一和规范，并配以视觉形象设计，以达到现场安全、文明、和谐、美观的愉悦效果。</w:t>
      </w:r>
    </w:p>
    <w:p w14:paraId="74F3CCA9">
      <w:pPr>
        <w:pStyle w:val="41"/>
        <w:spacing w:line="360" w:lineRule="auto"/>
        <w:ind w:firstLine="480"/>
        <w:rPr>
          <w:rFonts w:ascii="Times New Roman" w:hAnsi="Times New Roman"/>
        </w:rPr>
      </w:pPr>
      <w:r>
        <w:rPr>
          <w:rFonts w:ascii="Times New Roman" w:hAnsi="Times New Roman"/>
        </w:rPr>
        <w:t>（5）</w:t>
      </w:r>
      <w:r>
        <w:rPr>
          <w:rFonts w:hint="eastAsia" w:ascii="Times New Roman" w:hAnsi="Times New Roman"/>
          <w:lang w:eastAsia="zh-CN"/>
        </w:rPr>
        <w:t>投标人</w:t>
      </w:r>
      <w:r>
        <w:rPr>
          <w:rFonts w:ascii="Times New Roman" w:hAnsi="Times New Roman"/>
        </w:rPr>
        <w:t>必须严格执行电力行业建设文明施工规定及考核办法和</w:t>
      </w:r>
      <w:r>
        <w:rPr>
          <w:rFonts w:hint="eastAsia" w:ascii="Times New Roman" w:hAnsi="Times New Roman"/>
          <w:lang w:eastAsia="zh-CN"/>
        </w:rPr>
        <w:t>招标人</w:t>
      </w:r>
      <w:r>
        <w:rPr>
          <w:rFonts w:ascii="Times New Roman" w:hAnsi="Times New Roman"/>
        </w:rPr>
        <w:t>关于文明施工管理的文件、规定。除非另有协议，自现场开始工作直至工程全部移交为止。</w:t>
      </w:r>
    </w:p>
    <w:p w14:paraId="6F8AC99D">
      <w:pPr>
        <w:pStyle w:val="41"/>
        <w:spacing w:line="360" w:lineRule="auto"/>
        <w:ind w:firstLine="480"/>
        <w:rPr>
          <w:rFonts w:ascii="Times New Roman" w:hAnsi="Times New Roman"/>
        </w:rPr>
      </w:pPr>
      <w:r>
        <w:rPr>
          <w:rFonts w:ascii="Times New Roman" w:hAnsi="Times New Roman"/>
        </w:rPr>
        <w:t>（6）</w:t>
      </w:r>
      <w:r>
        <w:rPr>
          <w:rFonts w:hint="eastAsia" w:ascii="Times New Roman" w:hAnsi="Times New Roman"/>
          <w:lang w:eastAsia="zh-CN"/>
        </w:rPr>
        <w:t>投标人</w:t>
      </w:r>
      <w:r>
        <w:rPr>
          <w:rFonts w:ascii="Times New Roman" w:hAnsi="Times New Roman"/>
        </w:rPr>
        <w:t>全面负责在承建工地上施工的文明管理，并使工程和工地保持良好的秩序，以避免发生人身事故，保证建构筑物和设备的安全。</w:t>
      </w:r>
    </w:p>
    <w:p w14:paraId="31A241A6">
      <w:pPr>
        <w:pStyle w:val="41"/>
        <w:spacing w:line="360" w:lineRule="auto"/>
        <w:ind w:firstLine="480"/>
        <w:rPr>
          <w:rFonts w:ascii="Times New Roman" w:hAnsi="Times New Roman"/>
        </w:rPr>
      </w:pPr>
      <w:r>
        <w:rPr>
          <w:rFonts w:ascii="Times New Roman" w:hAnsi="Times New Roman"/>
        </w:rPr>
        <w:t>（7）</w:t>
      </w:r>
      <w:r>
        <w:rPr>
          <w:rFonts w:hint="eastAsia" w:ascii="Times New Roman" w:hAnsi="Times New Roman"/>
          <w:lang w:eastAsia="zh-CN"/>
        </w:rPr>
        <w:t>投标人</w:t>
      </w:r>
      <w:r>
        <w:rPr>
          <w:rFonts w:ascii="Times New Roman" w:hAnsi="Times New Roman"/>
        </w:rPr>
        <w:t>须设置2间箱式移动厕所，并负责四通一平施工期间的管理，所需费用包含在安全文明施工费用，请</w:t>
      </w:r>
      <w:r>
        <w:rPr>
          <w:rFonts w:hint="eastAsia" w:ascii="Times New Roman" w:hAnsi="Times New Roman"/>
          <w:lang w:eastAsia="zh-CN"/>
        </w:rPr>
        <w:t>投标人</w:t>
      </w:r>
      <w:r>
        <w:rPr>
          <w:rFonts w:ascii="Times New Roman" w:hAnsi="Times New Roman"/>
        </w:rPr>
        <w:t>自行考虑。</w:t>
      </w:r>
    </w:p>
    <w:p w14:paraId="2BEFEE42">
      <w:pPr>
        <w:pStyle w:val="74"/>
        <w:tabs>
          <w:tab w:val="left" w:pos="0"/>
        </w:tabs>
        <w:adjustRightInd w:val="0"/>
        <w:snapToGrid w:val="0"/>
        <w:spacing w:line="360" w:lineRule="auto"/>
        <w:ind w:firstLine="482"/>
        <w:outlineLvl w:val="1"/>
        <w:rPr>
          <w:b/>
        </w:rPr>
      </w:pPr>
      <w:bookmarkStart w:id="397" w:name="_Toc20123"/>
      <w:bookmarkStart w:id="398" w:name="_Toc2961"/>
      <w:bookmarkStart w:id="399" w:name="_Toc27046"/>
      <w:bookmarkStart w:id="400" w:name="_Toc190958905"/>
      <w:bookmarkStart w:id="401" w:name="_Toc27880"/>
      <w:bookmarkStart w:id="402" w:name="_Toc25542"/>
      <w:bookmarkStart w:id="403" w:name="_Toc391393497"/>
      <w:r>
        <w:rPr>
          <w:b/>
        </w:rPr>
        <w:t>3.3 文明施工管理</w:t>
      </w:r>
      <w:bookmarkEnd w:id="397"/>
      <w:bookmarkEnd w:id="398"/>
      <w:bookmarkEnd w:id="399"/>
      <w:bookmarkEnd w:id="400"/>
      <w:bookmarkEnd w:id="401"/>
      <w:bookmarkEnd w:id="402"/>
      <w:bookmarkEnd w:id="403"/>
    </w:p>
    <w:p w14:paraId="3110F314">
      <w:pPr>
        <w:numPr>
          <w:ilvl w:val="-1"/>
          <w:numId w:val="0"/>
        </w:numPr>
        <w:tabs>
          <w:tab w:val="left" w:pos="0"/>
          <w:tab w:val="left" w:pos="397"/>
        </w:tabs>
        <w:adjustRightInd w:val="0"/>
        <w:spacing w:line="360" w:lineRule="auto"/>
        <w:ind w:left="0" w:firstLine="482"/>
        <w:rPr>
          <w:b/>
        </w:rPr>
      </w:pPr>
      <w:r>
        <w:rPr>
          <w:rFonts w:hint="eastAsia" w:ascii="Times New Roman" w:hAnsi="Times New Roman" w:cs="Times New Roman"/>
          <w:b/>
          <w:lang w:val="en-US" w:eastAsia="zh-CN"/>
        </w:rPr>
        <w:t>3.3.1</w:t>
      </w:r>
      <w:r>
        <w:rPr>
          <w:b/>
        </w:rPr>
        <w:t xml:space="preserve">现场标牌 </w:t>
      </w:r>
    </w:p>
    <w:p w14:paraId="7CE710E1">
      <w:pPr>
        <w:pStyle w:val="41"/>
        <w:spacing w:line="360" w:lineRule="auto"/>
        <w:ind w:firstLine="480"/>
        <w:rPr>
          <w:rFonts w:ascii="Times New Roman" w:hAnsi="Times New Roman"/>
        </w:rPr>
      </w:pPr>
      <w:r>
        <w:rPr>
          <w:rFonts w:ascii="Times New Roman" w:hAnsi="Times New Roman"/>
        </w:rPr>
        <w:t>（1）</w:t>
      </w:r>
      <w:r>
        <w:rPr>
          <w:rFonts w:hint="eastAsia" w:ascii="Times New Roman" w:hAnsi="Times New Roman"/>
          <w:kern w:val="0"/>
          <w:lang w:eastAsia="zh-CN"/>
        </w:rPr>
        <w:t>投标人</w:t>
      </w:r>
      <w:r>
        <w:rPr>
          <w:rFonts w:ascii="Times New Roman" w:hAnsi="Times New Roman"/>
          <w:kern w:val="0"/>
        </w:rPr>
        <w:t>应对其施工现场标志进行策划、布置和维护管理。</w:t>
      </w:r>
    </w:p>
    <w:p w14:paraId="537C1C83">
      <w:pPr>
        <w:pStyle w:val="41"/>
        <w:spacing w:line="360" w:lineRule="auto"/>
        <w:ind w:firstLine="480"/>
        <w:rPr>
          <w:rFonts w:ascii="Times New Roman" w:hAnsi="Times New Roman"/>
        </w:rPr>
      </w:pPr>
      <w:r>
        <w:rPr>
          <w:rFonts w:ascii="Times New Roman" w:hAnsi="Times New Roman"/>
          <w:kern w:val="0"/>
        </w:rPr>
        <w:t>（2）</w:t>
      </w:r>
      <w:r>
        <w:rPr>
          <w:rFonts w:ascii="Times New Roman" w:hAnsi="Times New Roman"/>
        </w:rPr>
        <w:t>标牌应规范、整齐、统一；图牌框架及其支撑构件均应采用防锈蚀性强的金属材料制作，并确保图牌安置的稳定性和牢固性,图牌应连续排列。</w:t>
      </w:r>
    </w:p>
    <w:p w14:paraId="588104A9">
      <w:pPr>
        <w:pStyle w:val="41"/>
        <w:spacing w:line="360" w:lineRule="auto"/>
        <w:ind w:firstLine="480"/>
        <w:rPr>
          <w:rFonts w:ascii="Times New Roman" w:hAnsi="Times New Roman"/>
        </w:rPr>
      </w:pPr>
      <w:r>
        <w:rPr>
          <w:rFonts w:ascii="Times New Roman" w:hAnsi="Times New Roman"/>
        </w:rPr>
        <w:t>（3）场区文明施工标志、重点防火部位标志及紧急救护标志等应醒目、齐全。</w:t>
      </w:r>
    </w:p>
    <w:p w14:paraId="43DE1C0E">
      <w:pPr>
        <w:pStyle w:val="41"/>
        <w:spacing w:line="360" w:lineRule="auto"/>
        <w:ind w:firstLine="480"/>
        <w:rPr>
          <w:rFonts w:ascii="Times New Roman" w:hAnsi="Times New Roman"/>
        </w:rPr>
      </w:pPr>
      <w:r>
        <w:rPr>
          <w:rFonts w:ascii="Times New Roman" w:hAnsi="Times New Roman"/>
        </w:rPr>
        <w:t>（4）施工现场应设置重大危险源公示牌。</w:t>
      </w:r>
    </w:p>
    <w:p w14:paraId="793CF347">
      <w:pPr>
        <w:numPr>
          <w:ilvl w:val="-1"/>
          <w:numId w:val="0"/>
        </w:numPr>
        <w:tabs>
          <w:tab w:val="left" w:pos="0"/>
          <w:tab w:val="left" w:pos="397"/>
        </w:tabs>
        <w:adjustRightInd w:val="0"/>
        <w:spacing w:line="360" w:lineRule="auto"/>
        <w:ind w:left="0" w:firstLine="482"/>
        <w:rPr>
          <w:b/>
          <w:bCs w:val="0"/>
          <w:color w:val="auto"/>
          <w:kern w:val="2"/>
        </w:rPr>
      </w:pPr>
      <w:r>
        <w:rPr>
          <w:rFonts w:hint="default"/>
          <w:b/>
          <w:bCs w:val="0"/>
          <w:color w:val="auto"/>
          <w:kern w:val="2"/>
          <w:lang w:val="en-US" w:eastAsia="zh-CN"/>
        </w:rPr>
        <w:t>3.3.2</w:t>
      </w:r>
      <w:r>
        <w:rPr>
          <w:b/>
          <w:bCs w:val="0"/>
          <w:color w:val="auto"/>
          <w:kern w:val="2"/>
        </w:rPr>
        <w:t>围护设施</w:t>
      </w:r>
    </w:p>
    <w:p w14:paraId="0834966C">
      <w:pPr>
        <w:pStyle w:val="41"/>
        <w:spacing w:line="360" w:lineRule="auto"/>
        <w:ind w:firstLine="480"/>
        <w:rPr>
          <w:rFonts w:ascii="Times New Roman" w:hAnsi="Times New Roman"/>
        </w:rPr>
      </w:pPr>
      <w:r>
        <w:rPr>
          <w:rFonts w:ascii="Times New Roman" w:hAnsi="Times New Roman"/>
        </w:rPr>
        <w:t>（1）围护设施需满足安全要求，应坚固、稳定、整洁、美观。施工现场及其周围的悬崖、陡坎、深坑及高压带电区等危险区域均应有防护设施及警告标志；坑、沟、孔洞等均应铺设与地面平齐的盖板应设可靠的围栏、挡脚板及警告标志。危险处所在夜间应设红灯示警。</w:t>
      </w:r>
    </w:p>
    <w:p w14:paraId="52168713">
      <w:pPr>
        <w:pStyle w:val="41"/>
        <w:spacing w:line="360" w:lineRule="auto"/>
        <w:ind w:firstLine="480"/>
        <w:rPr>
          <w:rFonts w:ascii="Times New Roman" w:hAnsi="Times New Roman"/>
        </w:rPr>
      </w:pPr>
      <w:r>
        <w:rPr>
          <w:rFonts w:ascii="Times New Roman" w:hAnsi="Times New Roman"/>
        </w:rPr>
        <w:t>（2）现场设置的各种安全设施严禁移动或挪作他用。</w:t>
      </w:r>
    </w:p>
    <w:p w14:paraId="369D27B7">
      <w:pPr>
        <w:numPr>
          <w:ilvl w:val="-1"/>
          <w:numId w:val="0"/>
        </w:numPr>
        <w:tabs>
          <w:tab w:val="left" w:pos="0"/>
          <w:tab w:val="left" w:pos="397"/>
        </w:tabs>
        <w:adjustRightInd w:val="0"/>
        <w:spacing w:line="360" w:lineRule="auto"/>
        <w:ind w:left="0" w:firstLine="482"/>
        <w:rPr>
          <w:b/>
          <w:bCs w:val="0"/>
          <w:color w:val="auto"/>
          <w:kern w:val="2"/>
        </w:rPr>
      </w:pPr>
      <w:r>
        <w:rPr>
          <w:rFonts w:hint="default"/>
          <w:b/>
          <w:bCs w:val="0"/>
          <w:color w:val="auto"/>
          <w:kern w:val="2"/>
          <w:lang w:val="en-US" w:eastAsia="zh-CN"/>
        </w:rPr>
        <w:t>3.3.3</w:t>
      </w:r>
      <w:r>
        <w:rPr>
          <w:b/>
          <w:bCs w:val="0"/>
          <w:color w:val="auto"/>
          <w:kern w:val="2"/>
        </w:rPr>
        <w:t xml:space="preserve">场容场貌  </w:t>
      </w:r>
    </w:p>
    <w:p w14:paraId="550FC18D">
      <w:pPr>
        <w:pStyle w:val="41"/>
        <w:spacing w:line="360" w:lineRule="auto"/>
        <w:ind w:firstLine="480"/>
        <w:rPr>
          <w:rFonts w:ascii="Times New Roman" w:hAnsi="Times New Roman"/>
        </w:rPr>
      </w:pPr>
      <w:r>
        <w:rPr>
          <w:rFonts w:ascii="Times New Roman" w:hAnsi="Times New Roman"/>
        </w:rPr>
        <w:t>（1）</w:t>
      </w:r>
      <w:r>
        <w:rPr>
          <w:rFonts w:hint="eastAsia" w:ascii="Times New Roman" w:hAnsi="Times New Roman"/>
          <w:lang w:eastAsia="zh-CN"/>
        </w:rPr>
        <w:t>投标人</w:t>
      </w:r>
      <w:r>
        <w:rPr>
          <w:rFonts w:ascii="Times New Roman" w:hAnsi="Times New Roman"/>
        </w:rPr>
        <w:t>应按</w:t>
      </w:r>
      <w:r>
        <w:rPr>
          <w:rFonts w:hint="eastAsia" w:ascii="Times New Roman" w:hAnsi="Times New Roman"/>
          <w:lang w:eastAsia="zh-CN"/>
        </w:rPr>
        <w:t>招标人</w:t>
      </w:r>
      <w:r>
        <w:rPr>
          <w:rFonts w:ascii="Times New Roman" w:hAnsi="Times New Roman"/>
        </w:rPr>
        <w:t>发布的施工规划总布置，编制临时生产管理和生活设施的布置和房屋建筑物设计的图纸和文件，并提交</w:t>
      </w:r>
      <w:r>
        <w:rPr>
          <w:rFonts w:hint="eastAsia" w:ascii="Times New Roman" w:hAnsi="Times New Roman"/>
          <w:lang w:eastAsia="zh-CN"/>
        </w:rPr>
        <w:t>招标人</w:t>
      </w:r>
      <w:r>
        <w:rPr>
          <w:rFonts w:ascii="Times New Roman" w:hAnsi="Times New Roman"/>
        </w:rPr>
        <w:t>批准。临时建筑结构、颜色应符合</w:t>
      </w:r>
      <w:r>
        <w:rPr>
          <w:rFonts w:hint="eastAsia" w:ascii="Times New Roman" w:hAnsi="Times New Roman"/>
          <w:lang w:eastAsia="zh-CN"/>
        </w:rPr>
        <w:t>招标人</w:t>
      </w:r>
      <w:r>
        <w:rPr>
          <w:rFonts w:ascii="Times New Roman" w:hAnsi="Times New Roman"/>
        </w:rPr>
        <w:t>的统一规定，按照规定用地，布置合理，环境整洁；</w:t>
      </w:r>
    </w:p>
    <w:p w14:paraId="1D6C950C">
      <w:pPr>
        <w:pStyle w:val="41"/>
        <w:spacing w:line="360" w:lineRule="auto"/>
        <w:ind w:firstLine="480"/>
        <w:rPr>
          <w:rFonts w:ascii="Times New Roman" w:hAnsi="Times New Roman"/>
        </w:rPr>
      </w:pPr>
      <w:r>
        <w:rPr>
          <w:rFonts w:ascii="Times New Roman" w:hAnsi="Times New Roman"/>
        </w:rPr>
        <w:t>（2）场区施工道路、现场排水设施、设备及材料的堆放等应符合国家、行业等规范的相关规定。</w:t>
      </w:r>
    </w:p>
    <w:p w14:paraId="4D1037AC">
      <w:pPr>
        <w:pStyle w:val="41"/>
        <w:spacing w:line="360" w:lineRule="auto"/>
        <w:ind w:firstLine="480"/>
        <w:rPr>
          <w:rFonts w:ascii="Times New Roman" w:hAnsi="Times New Roman"/>
        </w:rPr>
      </w:pPr>
      <w:r>
        <w:rPr>
          <w:rFonts w:ascii="Times New Roman" w:hAnsi="Times New Roman"/>
        </w:rPr>
        <w:t>（3）施工场所应保持整洁，垃圾和废料应及时清除，做到“工完、料尽、场地清”。</w:t>
      </w:r>
    </w:p>
    <w:p w14:paraId="3E9C0C09">
      <w:pPr>
        <w:numPr>
          <w:ilvl w:val="-1"/>
          <w:numId w:val="0"/>
        </w:numPr>
        <w:tabs>
          <w:tab w:val="left" w:pos="0"/>
          <w:tab w:val="left" w:pos="397"/>
        </w:tabs>
        <w:adjustRightInd w:val="0"/>
        <w:spacing w:line="360" w:lineRule="auto"/>
        <w:ind w:left="0" w:firstLine="482"/>
        <w:rPr>
          <w:b/>
          <w:bCs w:val="0"/>
          <w:color w:val="auto"/>
          <w:kern w:val="2"/>
        </w:rPr>
      </w:pPr>
      <w:r>
        <w:rPr>
          <w:rFonts w:hint="default"/>
          <w:b/>
          <w:bCs w:val="0"/>
          <w:color w:val="auto"/>
          <w:kern w:val="2"/>
          <w:lang w:val="en-US" w:eastAsia="zh-CN"/>
        </w:rPr>
        <w:t>3.3.4</w:t>
      </w:r>
      <w:r>
        <w:rPr>
          <w:b/>
          <w:bCs w:val="0"/>
          <w:color w:val="auto"/>
          <w:kern w:val="2"/>
        </w:rPr>
        <w:t>现场的</w:t>
      </w:r>
      <w:r>
        <w:rPr>
          <w:b/>
        </w:rPr>
        <w:t>文明</w:t>
      </w:r>
      <w:r>
        <w:rPr>
          <w:b/>
          <w:bCs w:val="0"/>
          <w:color w:val="auto"/>
          <w:kern w:val="2"/>
        </w:rPr>
        <w:t>施工管理</w:t>
      </w:r>
    </w:p>
    <w:p w14:paraId="5996675F">
      <w:pPr>
        <w:pStyle w:val="41"/>
        <w:spacing w:line="360" w:lineRule="auto"/>
        <w:ind w:firstLine="480"/>
        <w:rPr>
          <w:rFonts w:ascii="Times New Roman" w:hAnsi="Times New Roman"/>
        </w:rPr>
      </w:pPr>
      <w:r>
        <w:rPr>
          <w:rFonts w:ascii="Times New Roman" w:hAnsi="Times New Roman"/>
        </w:rPr>
        <w:t>（1）对施工人员行为管理，包括：施工人员着装、发式的规定；施工人员单位标识；进入施工厂区接受门卫检查的规定要求；进入施工区域劳动保护用品佩戴的要求；进入生产、试运行等特殊区域的管理要求；进入施工现场、生产厂区吸烟的规定；施工人员禁止乱扔废弃物、在建筑物和设备上乱涂乱画的要求。</w:t>
      </w:r>
    </w:p>
    <w:p w14:paraId="0494DFAB">
      <w:pPr>
        <w:pStyle w:val="41"/>
        <w:spacing w:line="360" w:lineRule="auto"/>
        <w:ind w:firstLine="480"/>
        <w:rPr>
          <w:rFonts w:ascii="Times New Roman" w:hAnsi="Times New Roman"/>
        </w:rPr>
      </w:pPr>
      <w:r>
        <w:rPr>
          <w:rFonts w:ascii="Times New Roman" w:hAnsi="Times New Roman"/>
        </w:rPr>
        <w:t>（2）</w:t>
      </w:r>
      <w:r>
        <w:rPr>
          <w:rFonts w:hint="eastAsia" w:ascii="Times New Roman" w:hAnsi="Times New Roman"/>
          <w:lang w:eastAsia="zh-CN"/>
        </w:rPr>
        <w:t>投标人</w:t>
      </w:r>
      <w:r>
        <w:rPr>
          <w:rFonts w:ascii="Times New Roman" w:hAnsi="Times New Roman"/>
        </w:rPr>
        <w:t>对现场施工机械、设备实行定置管理；对施工机械、设备运行操作、检修过程废气、废油、废水排放和噪声进行控制；确保其施工机械和设备的标识完好率；确保其使用的车辆停放规范和清洁；确保其对车辆检修、冲洗过程达到环保控制的标准；确保其车辆在厂区内文明行驶。</w:t>
      </w:r>
    </w:p>
    <w:p w14:paraId="372A90DB">
      <w:pPr>
        <w:pStyle w:val="41"/>
        <w:spacing w:line="360" w:lineRule="auto"/>
        <w:ind w:firstLine="480"/>
        <w:rPr>
          <w:rFonts w:ascii="Times New Roman" w:hAnsi="Times New Roman"/>
        </w:rPr>
      </w:pPr>
      <w:r>
        <w:rPr>
          <w:rFonts w:ascii="Times New Roman" w:hAnsi="Times New Roman"/>
        </w:rPr>
        <w:t>（3）</w:t>
      </w:r>
      <w:r>
        <w:rPr>
          <w:rFonts w:hint="eastAsia" w:ascii="Times New Roman" w:hAnsi="Times New Roman"/>
          <w:lang w:eastAsia="zh-CN"/>
        </w:rPr>
        <w:t>投标人</w:t>
      </w:r>
      <w:r>
        <w:rPr>
          <w:rFonts w:ascii="Times New Roman" w:hAnsi="Times New Roman"/>
        </w:rPr>
        <w:t>应对其施工材料的管理做到：施工仓库区材料贮存、堆放的定置管理；施工作业面材料贮存、堆放的定置管理；施工材料文明装卸、不污染环境；易燃、易爆有毒有害物品的标识、运输、贮存和使用过程严格管理；废旧材料及设备、物资包装材料处置有序，不影响和污染环境。</w:t>
      </w:r>
    </w:p>
    <w:p w14:paraId="2DB38ACF">
      <w:pPr>
        <w:pStyle w:val="41"/>
        <w:spacing w:line="360" w:lineRule="auto"/>
        <w:ind w:firstLine="480"/>
        <w:rPr>
          <w:rFonts w:ascii="Times New Roman" w:hAnsi="Times New Roman"/>
        </w:rPr>
      </w:pPr>
      <w:r>
        <w:rPr>
          <w:rFonts w:ascii="Times New Roman" w:hAnsi="Times New Roman"/>
        </w:rPr>
        <w:t>（5）</w:t>
      </w:r>
      <w:r>
        <w:rPr>
          <w:rFonts w:hint="eastAsia" w:ascii="Times New Roman" w:hAnsi="Times New Roman"/>
          <w:lang w:eastAsia="zh-CN"/>
        </w:rPr>
        <w:t>投标人</w:t>
      </w:r>
      <w:r>
        <w:rPr>
          <w:rFonts w:ascii="Times New Roman" w:hAnsi="Times New Roman"/>
        </w:rPr>
        <w:t xml:space="preserve">应对影响厂区交通的施工活动制定审批、告示、警戒、隔离等相关制度。 </w:t>
      </w:r>
    </w:p>
    <w:p w14:paraId="30913E6D">
      <w:pPr>
        <w:pStyle w:val="41"/>
        <w:spacing w:line="360" w:lineRule="auto"/>
        <w:ind w:firstLine="480"/>
        <w:rPr>
          <w:rFonts w:ascii="Times New Roman" w:hAnsi="Times New Roman"/>
          <w:bCs/>
        </w:rPr>
      </w:pPr>
      <w:r>
        <w:rPr>
          <w:rFonts w:ascii="Times New Roman" w:hAnsi="Times New Roman"/>
        </w:rPr>
        <w:t>（6）</w:t>
      </w:r>
      <w:r>
        <w:rPr>
          <w:rFonts w:ascii="Times New Roman" w:hAnsi="Times New Roman"/>
          <w:bCs/>
        </w:rPr>
        <w:t>施工责任区移交，实行工序交接、验收、签字制度，上道工序交给下道工序必须是干净、整洁、工艺质量符合验收标准的工作面。</w:t>
      </w:r>
    </w:p>
    <w:p w14:paraId="355D2B74">
      <w:pPr>
        <w:pStyle w:val="41"/>
        <w:spacing w:line="360" w:lineRule="auto"/>
        <w:ind w:firstLine="480"/>
        <w:rPr>
          <w:rFonts w:ascii="Times New Roman" w:hAnsi="Times New Roman"/>
          <w:bCs/>
        </w:rPr>
      </w:pPr>
      <w:r>
        <w:rPr>
          <w:rFonts w:ascii="Times New Roman" w:hAnsi="Times New Roman"/>
          <w:bCs/>
        </w:rPr>
        <w:t>（7）</w:t>
      </w:r>
      <w:r>
        <w:rPr>
          <w:rFonts w:hint="eastAsia" w:ascii="Times New Roman" w:hAnsi="Times New Roman"/>
          <w:bCs/>
          <w:lang w:eastAsia="zh-CN"/>
        </w:rPr>
        <w:t>投标人</w:t>
      </w:r>
      <w:r>
        <w:rPr>
          <w:rFonts w:ascii="Times New Roman" w:hAnsi="Times New Roman"/>
          <w:bCs/>
        </w:rPr>
        <w:t>应严格按照施工总平面布置图进行施工平面管理，明确责任区负责人及安监负责人，各区的平面管理应服从总平面布置图的要求和规划，并履行报批手续，所有用工必须进行实名登记，进出场实行实名认证管理。</w:t>
      </w:r>
      <w:r>
        <w:rPr>
          <w:rFonts w:hint="eastAsia" w:ascii="Times New Roman" w:hAnsi="Times New Roman"/>
          <w:bCs/>
          <w:lang w:eastAsia="zh-CN"/>
        </w:rPr>
        <w:t>投标人</w:t>
      </w:r>
      <w:r>
        <w:rPr>
          <w:rFonts w:ascii="Times New Roman" w:hAnsi="Times New Roman"/>
          <w:bCs/>
        </w:rPr>
        <w:t>进入另一个</w:t>
      </w:r>
      <w:r>
        <w:rPr>
          <w:rFonts w:hint="eastAsia" w:ascii="Times New Roman" w:hAnsi="Times New Roman"/>
          <w:bCs/>
          <w:lang w:eastAsia="zh-CN"/>
        </w:rPr>
        <w:t>投标人</w:t>
      </w:r>
      <w:r>
        <w:rPr>
          <w:rFonts w:ascii="Times New Roman" w:hAnsi="Times New Roman"/>
          <w:bCs/>
        </w:rPr>
        <w:t>的责任区内施工，必须服从责任区单位的管理，并办理进出厂手续，经责任区单位签字同意后方可实施。</w:t>
      </w:r>
    </w:p>
    <w:p w14:paraId="00CAC735">
      <w:pPr>
        <w:pStyle w:val="41"/>
        <w:spacing w:line="360" w:lineRule="auto"/>
        <w:ind w:firstLine="480"/>
        <w:rPr>
          <w:rFonts w:ascii="Times New Roman" w:hAnsi="Times New Roman"/>
          <w:bCs/>
        </w:rPr>
      </w:pPr>
      <w:r>
        <w:rPr>
          <w:rFonts w:ascii="Times New Roman" w:hAnsi="Times New Roman"/>
          <w:bCs/>
        </w:rPr>
        <w:t>（8）施工总平面管理应达到安全、文明要求，做到场地安排紧凑合理，符合工艺流程。方便施工以减少二次搬运，设备、材料、机械堆放，标记清晰，排放有序，符合防火、防洪要求。</w:t>
      </w:r>
      <w:r>
        <w:rPr>
          <w:rFonts w:hint="eastAsia" w:ascii="Times New Roman" w:hAnsi="Times New Roman"/>
          <w:bCs/>
          <w:lang w:eastAsia="zh-CN"/>
        </w:rPr>
        <w:t>投标人</w:t>
      </w:r>
      <w:r>
        <w:rPr>
          <w:rFonts w:ascii="Times New Roman" w:hAnsi="Times New Roman"/>
          <w:bCs/>
        </w:rPr>
        <w:t>要采取有效的成品保护措施。</w:t>
      </w:r>
    </w:p>
    <w:p w14:paraId="20BFF6C9">
      <w:pPr>
        <w:pStyle w:val="41"/>
        <w:spacing w:line="360" w:lineRule="auto"/>
        <w:ind w:firstLine="480"/>
        <w:rPr>
          <w:rFonts w:ascii="Times New Roman" w:hAnsi="Times New Roman"/>
          <w:bCs/>
        </w:rPr>
      </w:pPr>
      <w:r>
        <w:rPr>
          <w:rFonts w:ascii="Times New Roman" w:hAnsi="Times New Roman"/>
          <w:bCs/>
        </w:rPr>
        <w:t>（9）施工临建设施完整、环境清洁。生产临建整洁、布置整齐，安全管理责任、制度、规定到位。</w:t>
      </w:r>
    </w:p>
    <w:p w14:paraId="5E0DF664">
      <w:pPr>
        <w:pStyle w:val="41"/>
        <w:spacing w:line="360" w:lineRule="auto"/>
        <w:ind w:firstLine="480"/>
        <w:rPr>
          <w:rFonts w:ascii="Times New Roman" w:hAnsi="Times New Roman"/>
          <w:bCs/>
        </w:rPr>
      </w:pPr>
      <w:r>
        <w:rPr>
          <w:rFonts w:ascii="Times New Roman" w:hAnsi="Times New Roman"/>
          <w:bCs/>
        </w:rPr>
        <w:t>（10）施工期间，</w:t>
      </w:r>
      <w:r>
        <w:rPr>
          <w:rFonts w:hint="eastAsia" w:ascii="Times New Roman" w:hAnsi="Times New Roman"/>
          <w:bCs/>
          <w:lang w:eastAsia="zh-CN"/>
        </w:rPr>
        <w:t>投标人</w:t>
      </w:r>
      <w:r>
        <w:rPr>
          <w:rFonts w:ascii="Times New Roman" w:hAnsi="Times New Roman"/>
          <w:bCs/>
        </w:rPr>
        <w:t>应保持现场不出现不必要的障碍，排除雨水或污水，并应将任何</w:t>
      </w:r>
      <w:r>
        <w:rPr>
          <w:rFonts w:hint="eastAsia" w:ascii="Times New Roman" w:hAnsi="Times New Roman"/>
          <w:bCs/>
          <w:lang w:eastAsia="zh-CN"/>
        </w:rPr>
        <w:t>投标人</w:t>
      </w:r>
      <w:r>
        <w:rPr>
          <w:rFonts w:ascii="Times New Roman" w:hAnsi="Times New Roman"/>
          <w:bCs/>
        </w:rPr>
        <w:t>的设备和多余材料储存并作出妥善安排，</w:t>
      </w:r>
      <w:r>
        <w:rPr>
          <w:rFonts w:hint="eastAsia" w:ascii="Times New Roman" w:hAnsi="Times New Roman"/>
          <w:bCs/>
          <w:lang w:val="en-US" w:eastAsia="zh-CN"/>
        </w:rPr>
        <w:t>拆除不再需要的临时工程，</w:t>
      </w:r>
      <w:r>
        <w:rPr>
          <w:rFonts w:ascii="Times New Roman" w:hAnsi="Times New Roman"/>
          <w:bCs/>
        </w:rPr>
        <w:t>从现场清除并运走任何废料、垃圾。</w:t>
      </w:r>
    </w:p>
    <w:p w14:paraId="11F2ABBC">
      <w:pPr>
        <w:pStyle w:val="41"/>
        <w:spacing w:line="360" w:lineRule="auto"/>
        <w:ind w:firstLine="480"/>
        <w:rPr>
          <w:rFonts w:ascii="Times New Roman" w:hAnsi="Times New Roman"/>
          <w:bCs/>
        </w:rPr>
      </w:pPr>
      <w:r>
        <w:rPr>
          <w:rFonts w:ascii="Times New Roman" w:hAnsi="Times New Roman"/>
          <w:bCs/>
        </w:rPr>
        <w:t>（11）各责任区应严格执行有关的环境卫生标准要求。一方面现场不积水，保持排水畅通，另一方面要防止尘土飞扬，定期洒水，保证施工人员的身体健康，为施工现场创造一个良好的工作环境。</w:t>
      </w:r>
    </w:p>
    <w:p w14:paraId="6C31C697">
      <w:pPr>
        <w:pStyle w:val="41"/>
        <w:spacing w:line="360" w:lineRule="auto"/>
        <w:ind w:firstLine="480"/>
        <w:rPr>
          <w:rFonts w:ascii="Times New Roman" w:hAnsi="Times New Roman"/>
          <w:bCs/>
        </w:rPr>
      </w:pPr>
      <w:r>
        <w:rPr>
          <w:rFonts w:ascii="Times New Roman" w:hAnsi="Times New Roman"/>
          <w:bCs/>
        </w:rPr>
        <w:t>（12）组合场地、施工作业要配备足够的照明设施，并配备足够的维护人员。</w:t>
      </w:r>
    </w:p>
    <w:p w14:paraId="4C6B3C2F">
      <w:pPr>
        <w:pStyle w:val="41"/>
        <w:spacing w:line="360" w:lineRule="auto"/>
        <w:ind w:firstLine="480"/>
        <w:rPr>
          <w:rFonts w:ascii="Times New Roman" w:hAnsi="Times New Roman"/>
          <w:bCs/>
        </w:rPr>
      </w:pPr>
      <w:r>
        <w:rPr>
          <w:rFonts w:ascii="Times New Roman" w:hAnsi="Times New Roman"/>
          <w:bCs/>
        </w:rPr>
        <w:t>（13）厂区及施工区内的沟道、地面无垃圾，每个作业面者应作到“工完料尽场地清”，剩余材料要堆放整齐，废料及时清理。</w:t>
      </w:r>
    </w:p>
    <w:p w14:paraId="4E6B9323">
      <w:pPr>
        <w:pStyle w:val="41"/>
        <w:spacing w:line="360" w:lineRule="auto"/>
        <w:ind w:firstLine="480"/>
        <w:rPr>
          <w:rFonts w:ascii="Times New Roman" w:hAnsi="Times New Roman"/>
          <w:bCs/>
        </w:rPr>
      </w:pPr>
      <w:r>
        <w:rPr>
          <w:rFonts w:ascii="Times New Roman" w:hAnsi="Times New Roman"/>
          <w:bCs/>
        </w:rPr>
        <w:t>（14）沟道、孔洞、平台、扶梯等要有可靠的永久性或盖板或栏杆，设明显标志和安全警告标志。</w:t>
      </w:r>
    </w:p>
    <w:p w14:paraId="1B505E35">
      <w:pPr>
        <w:pStyle w:val="41"/>
        <w:spacing w:line="360" w:lineRule="auto"/>
        <w:ind w:firstLine="480"/>
        <w:rPr>
          <w:rFonts w:ascii="Times New Roman" w:hAnsi="Times New Roman"/>
          <w:bCs/>
        </w:rPr>
      </w:pPr>
      <w:r>
        <w:rPr>
          <w:rFonts w:ascii="Times New Roman" w:hAnsi="Times New Roman"/>
          <w:bCs/>
        </w:rPr>
        <w:t>（15）施工期间注意采取措施避免对临近的当地各类设备设施不利影响，特别注意保护河道外侧、临近虾塘的塘埂，防止塘埂变形破坏。</w:t>
      </w:r>
    </w:p>
    <w:p w14:paraId="2863374B">
      <w:pPr>
        <w:tabs>
          <w:tab w:val="left" w:pos="0"/>
          <w:tab w:val="left" w:pos="397"/>
        </w:tabs>
        <w:adjustRightInd w:val="0"/>
        <w:spacing w:line="360" w:lineRule="auto"/>
        <w:ind w:firstLine="482"/>
        <w:outlineLvl w:val="1"/>
        <w:rPr>
          <w:b/>
        </w:rPr>
      </w:pPr>
      <w:bookmarkStart w:id="404" w:name="_Toc26324"/>
      <w:bookmarkStart w:id="405" w:name="_Toc393441036"/>
      <w:bookmarkStart w:id="406" w:name="_Toc3501"/>
      <w:bookmarkStart w:id="407" w:name="_Toc391393498"/>
      <w:bookmarkStart w:id="408" w:name="_Toc23231"/>
      <w:bookmarkStart w:id="409" w:name="_Toc13778"/>
      <w:bookmarkStart w:id="410" w:name="_Toc190958906"/>
      <w:bookmarkStart w:id="411" w:name="_Toc28587"/>
      <w:r>
        <w:rPr>
          <w:b/>
        </w:rPr>
        <w:t>3.4 施工安全措施</w:t>
      </w:r>
      <w:bookmarkEnd w:id="404"/>
      <w:bookmarkEnd w:id="405"/>
      <w:bookmarkEnd w:id="406"/>
      <w:bookmarkEnd w:id="407"/>
      <w:bookmarkEnd w:id="408"/>
      <w:bookmarkEnd w:id="409"/>
      <w:bookmarkEnd w:id="410"/>
      <w:bookmarkEnd w:id="411"/>
    </w:p>
    <w:p w14:paraId="1F10B0F7">
      <w:pPr>
        <w:numPr>
          <w:ilvl w:val="-1"/>
          <w:numId w:val="0"/>
        </w:numPr>
        <w:tabs>
          <w:tab w:val="left" w:pos="0"/>
          <w:tab w:val="left" w:pos="397"/>
        </w:tabs>
        <w:adjustRightInd w:val="0"/>
        <w:spacing w:line="360" w:lineRule="auto"/>
        <w:ind w:left="0" w:firstLine="482"/>
        <w:rPr>
          <w:b/>
        </w:rPr>
      </w:pPr>
      <w:bookmarkStart w:id="412" w:name="_Toc391393499"/>
      <w:r>
        <w:rPr>
          <w:rFonts w:hint="default"/>
          <w:b/>
          <w:lang w:val="en-US" w:eastAsia="zh-CN"/>
        </w:rPr>
        <w:t>3.4.1</w:t>
      </w:r>
      <w:r>
        <w:rPr>
          <w:b/>
        </w:rPr>
        <w:t>一般要求</w:t>
      </w:r>
      <w:bookmarkEnd w:id="412"/>
    </w:p>
    <w:p w14:paraId="422ABADC">
      <w:pPr>
        <w:pStyle w:val="41"/>
        <w:spacing w:line="360" w:lineRule="auto"/>
        <w:ind w:firstLine="480"/>
        <w:rPr>
          <w:rFonts w:ascii="Times New Roman" w:hAnsi="Times New Roman"/>
        </w:rPr>
      </w:pPr>
      <w:r>
        <w:rPr>
          <w:rFonts w:ascii="Times New Roman" w:hAnsi="Times New Roman"/>
          <w:bCs/>
        </w:rPr>
        <w:t>（1）</w:t>
      </w:r>
      <w:r>
        <w:rPr>
          <w:rFonts w:hint="eastAsia" w:ascii="Times New Roman" w:hAnsi="Times New Roman"/>
          <w:kern w:val="0"/>
          <w:lang w:eastAsia="zh-CN"/>
        </w:rPr>
        <w:t>投标人</w:t>
      </w:r>
      <w:r>
        <w:rPr>
          <w:rFonts w:ascii="Times New Roman" w:hAnsi="Times New Roman"/>
          <w:kern w:val="0"/>
        </w:rPr>
        <w:t>必须严格执行国家、行业</w:t>
      </w:r>
      <w:r>
        <w:rPr>
          <w:rFonts w:ascii="Times New Roman" w:hAnsi="Times New Roman"/>
        </w:rPr>
        <w:t>和</w:t>
      </w:r>
      <w:r>
        <w:rPr>
          <w:rFonts w:hint="eastAsia" w:ascii="Times New Roman" w:hAnsi="Times New Roman"/>
          <w:lang w:eastAsia="zh-CN"/>
        </w:rPr>
        <w:t>招标人</w:t>
      </w:r>
      <w:r>
        <w:rPr>
          <w:rFonts w:ascii="Times New Roman" w:hAnsi="Times New Roman"/>
        </w:rPr>
        <w:t>有关安全管理规定及安全工作规程。</w:t>
      </w:r>
    </w:p>
    <w:p w14:paraId="3863CBE4">
      <w:pPr>
        <w:pStyle w:val="41"/>
        <w:spacing w:line="360" w:lineRule="auto"/>
        <w:ind w:firstLine="480"/>
        <w:rPr>
          <w:rFonts w:ascii="Times New Roman" w:hAnsi="Times New Roman"/>
          <w:bCs/>
        </w:rPr>
      </w:pPr>
      <w:r>
        <w:rPr>
          <w:rFonts w:ascii="Times New Roman" w:hAnsi="Times New Roman"/>
        </w:rPr>
        <w:t>（2）</w:t>
      </w:r>
      <w:r>
        <w:rPr>
          <w:rFonts w:hint="eastAsia" w:ascii="Times New Roman" w:hAnsi="Times New Roman"/>
          <w:lang w:eastAsia="zh-CN"/>
        </w:rPr>
        <w:t>投标人</w:t>
      </w:r>
      <w:r>
        <w:rPr>
          <w:rFonts w:ascii="Times New Roman" w:hAnsi="Times New Roman"/>
        </w:rPr>
        <w:t>应</w:t>
      </w:r>
      <w:r>
        <w:rPr>
          <w:rFonts w:ascii="Times New Roman" w:hAnsi="Times New Roman"/>
          <w:bCs/>
        </w:rPr>
        <w:t>针对工程施工特点</w:t>
      </w:r>
      <w:r>
        <w:rPr>
          <w:rFonts w:ascii="Times New Roman" w:hAnsi="Times New Roman"/>
        </w:rPr>
        <w:t>提交施工安全措施计划；</w:t>
      </w:r>
      <w:r>
        <w:rPr>
          <w:rFonts w:ascii="Times New Roman" w:hAnsi="Times New Roman"/>
          <w:bCs/>
        </w:rPr>
        <w:t>编制危险源辨识与预控措施，并进行风险评价；对风险性较大的重要危害因素和重要环境因素，进行重点预防和控制。分部工程在施工方案中须列出危险源辨识与预控措施清单。安全施工措施必须具有针对性，可操作性，可靠性。</w:t>
      </w:r>
    </w:p>
    <w:p w14:paraId="39ED33B2">
      <w:pPr>
        <w:pStyle w:val="41"/>
        <w:spacing w:line="360" w:lineRule="auto"/>
        <w:ind w:firstLine="480"/>
        <w:rPr>
          <w:rFonts w:ascii="Times New Roman" w:hAnsi="Times New Roman"/>
          <w:bCs/>
        </w:rPr>
      </w:pPr>
      <w:r>
        <w:rPr>
          <w:rFonts w:ascii="Times New Roman" w:hAnsi="Times New Roman"/>
          <w:bCs/>
        </w:rPr>
        <w:t xml:space="preserve">（3）严格执行安全施工技术措施交底程序，交底与接受交底人双方签字确认。现场可以使用多媒体设备对技术交底进行记录（对重大施工项目、重要施工工序、特殊作业、危险作业，在交底过程中应拍照片或录像），保证交底效果。 </w:t>
      </w:r>
    </w:p>
    <w:p w14:paraId="77C03A38">
      <w:pPr>
        <w:pStyle w:val="41"/>
        <w:spacing w:line="360" w:lineRule="auto"/>
        <w:ind w:firstLine="480"/>
        <w:rPr>
          <w:rFonts w:ascii="Times New Roman" w:hAnsi="Times New Roman"/>
          <w:bCs/>
        </w:rPr>
      </w:pPr>
      <w:r>
        <w:rPr>
          <w:rFonts w:ascii="Times New Roman" w:hAnsi="Times New Roman"/>
          <w:bCs/>
        </w:rPr>
        <w:t>（4）项目开工前必须进行安全文明施工条件的检查与确认，不具备安全文明施工条件的工程项目不得开工。</w:t>
      </w:r>
    </w:p>
    <w:p w14:paraId="1215297C">
      <w:pPr>
        <w:pStyle w:val="41"/>
        <w:spacing w:line="360" w:lineRule="auto"/>
        <w:ind w:firstLine="480"/>
        <w:rPr>
          <w:rFonts w:ascii="Times New Roman" w:hAnsi="Times New Roman"/>
          <w:bCs/>
        </w:rPr>
      </w:pPr>
      <w:r>
        <w:rPr>
          <w:rFonts w:ascii="Times New Roman" w:hAnsi="Times New Roman"/>
          <w:bCs/>
        </w:rPr>
        <w:t>（5）特殊作业、危险作业时，</w:t>
      </w:r>
      <w:r>
        <w:rPr>
          <w:rFonts w:hint="eastAsia" w:ascii="Times New Roman" w:hAnsi="Times New Roman"/>
          <w:bCs/>
          <w:lang w:eastAsia="zh-CN"/>
        </w:rPr>
        <w:t>招标人</w:t>
      </w:r>
      <w:r>
        <w:rPr>
          <w:rFonts w:ascii="Times New Roman" w:hAnsi="Times New Roman"/>
          <w:bCs/>
        </w:rPr>
        <w:t>及</w:t>
      </w:r>
      <w:r>
        <w:rPr>
          <w:rFonts w:hint="eastAsia" w:ascii="Times New Roman" w:hAnsi="Times New Roman"/>
          <w:bCs/>
          <w:lang w:eastAsia="zh-CN"/>
        </w:rPr>
        <w:t>投标人</w:t>
      </w:r>
      <w:r>
        <w:rPr>
          <w:rFonts w:ascii="Times New Roman" w:hAnsi="Times New Roman"/>
          <w:bCs/>
        </w:rPr>
        <w:t>安全管理人员必须全过程旁证监督。</w:t>
      </w:r>
    </w:p>
    <w:p w14:paraId="7A3C2DC3">
      <w:pPr>
        <w:pStyle w:val="41"/>
        <w:spacing w:line="360" w:lineRule="auto"/>
        <w:ind w:firstLine="480"/>
        <w:rPr>
          <w:rFonts w:ascii="Times New Roman" w:hAnsi="Times New Roman"/>
          <w:bCs/>
        </w:rPr>
      </w:pPr>
      <w:r>
        <w:rPr>
          <w:rFonts w:ascii="Times New Roman" w:hAnsi="Times New Roman"/>
          <w:bCs/>
        </w:rPr>
        <w:t>（6）保证安全投入，加强安全防护。施工措施中要求采用的安全设施，必须全部执行到位，全面实施安全设施标准化，使现场具备完善的安全文明施工条件。</w:t>
      </w:r>
    </w:p>
    <w:p w14:paraId="1B8582B9">
      <w:pPr>
        <w:numPr>
          <w:ilvl w:val="-1"/>
          <w:numId w:val="0"/>
        </w:numPr>
        <w:tabs>
          <w:tab w:val="left" w:pos="0"/>
          <w:tab w:val="left" w:pos="397"/>
        </w:tabs>
        <w:adjustRightInd w:val="0"/>
        <w:spacing w:line="360" w:lineRule="auto"/>
        <w:ind w:left="0" w:firstLine="482"/>
        <w:rPr>
          <w:b/>
        </w:rPr>
      </w:pPr>
      <w:bookmarkStart w:id="413" w:name="_Toc391393505"/>
      <w:r>
        <w:rPr>
          <w:b/>
        </w:rPr>
        <w:t xml:space="preserve"> </w:t>
      </w:r>
      <w:r>
        <w:rPr>
          <w:rFonts w:hint="eastAsia" w:ascii="Times New Roman" w:hAnsi="Times New Roman" w:cs="Times New Roman"/>
          <w:b/>
          <w:lang w:val="en-US" w:eastAsia="zh-CN"/>
        </w:rPr>
        <w:t>3.4.2</w:t>
      </w:r>
      <w:r>
        <w:rPr>
          <w:b/>
        </w:rPr>
        <w:t>起重运输作业安全</w:t>
      </w:r>
      <w:bookmarkEnd w:id="413"/>
    </w:p>
    <w:p w14:paraId="16D9200F">
      <w:pPr>
        <w:pStyle w:val="41"/>
        <w:spacing w:line="360" w:lineRule="auto"/>
        <w:ind w:firstLine="480"/>
        <w:rPr>
          <w:rFonts w:ascii="Times New Roman" w:hAnsi="Times New Roman"/>
          <w:bCs/>
        </w:rPr>
      </w:pPr>
      <w:r>
        <w:rPr>
          <w:rFonts w:ascii="Times New Roman" w:hAnsi="Times New Roman"/>
          <w:bCs/>
        </w:rPr>
        <w:t>（1）参与起重运输作业的机械和人员必须经国家规定的相关部门检测合格和持有特种设备作业人员证方可作业。</w:t>
      </w:r>
      <w:r>
        <w:rPr>
          <w:rFonts w:ascii="Times New Roman" w:hAnsi="Times New Roman"/>
        </w:rPr>
        <w:t>起重机的指挥人员必须经有关部门按GB5082《起重吊运指挥信号》的规定进行安全技术培训，并经考试合格、取得合格证后方可上岗指挥。</w:t>
      </w:r>
    </w:p>
    <w:p w14:paraId="73B0F227">
      <w:pPr>
        <w:pStyle w:val="41"/>
        <w:spacing w:line="360" w:lineRule="auto"/>
        <w:ind w:firstLine="480"/>
        <w:rPr>
          <w:rFonts w:ascii="Times New Roman" w:hAnsi="Times New Roman"/>
          <w:bCs/>
        </w:rPr>
      </w:pPr>
      <w:r>
        <w:rPr>
          <w:rFonts w:ascii="Times New Roman" w:hAnsi="Times New Roman"/>
          <w:bCs/>
        </w:rPr>
        <w:t>（2）钢丝绳、吊钩、滑轮、安全装置及起重工器具应按有关规定定期进行检验，检查和保养。</w:t>
      </w:r>
    </w:p>
    <w:p w14:paraId="44D2925E">
      <w:pPr>
        <w:pStyle w:val="41"/>
        <w:spacing w:line="360" w:lineRule="auto"/>
        <w:ind w:firstLine="480"/>
        <w:rPr>
          <w:rFonts w:ascii="Times New Roman" w:hAnsi="Times New Roman"/>
          <w:bCs/>
        </w:rPr>
      </w:pPr>
      <w:r>
        <w:rPr>
          <w:rFonts w:ascii="Times New Roman" w:hAnsi="Times New Roman"/>
          <w:bCs/>
        </w:rPr>
        <w:t>（3） 使用国家标准规定的起重指挥信号、手势和旗语，使用对讲机指挥的机械，其对讲机应使用约定的频率与频道。</w:t>
      </w:r>
    </w:p>
    <w:p w14:paraId="64C7DD40">
      <w:pPr>
        <w:pStyle w:val="41"/>
        <w:spacing w:line="360" w:lineRule="auto"/>
        <w:ind w:firstLine="480"/>
        <w:rPr>
          <w:rFonts w:ascii="Times New Roman" w:hAnsi="Times New Roman"/>
          <w:bCs/>
        </w:rPr>
      </w:pPr>
      <w:r>
        <w:rPr>
          <w:rFonts w:ascii="Times New Roman" w:hAnsi="Times New Roman"/>
          <w:bCs/>
        </w:rPr>
        <w:t>（4）起重机械应标明最大起重量，悬挂安全操作规程、安全准用证（安全检验合格证）、机组人员名单，主要性能及润滑图表等，安装、拆除、操作、管理人员必须持有合法资格证件（操作人员应有“特种设备作业人员证”）。</w:t>
      </w:r>
    </w:p>
    <w:p w14:paraId="10717404">
      <w:pPr>
        <w:pStyle w:val="41"/>
        <w:spacing w:line="360" w:lineRule="auto"/>
        <w:ind w:firstLine="480"/>
        <w:rPr>
          <w:rFonts w:ascii="Times New Roman" w:hAnsi="Times New Roman"/>
        </w:rPr>
      </w:pPr>
      <w:r>
        <w:rPr>
          <w:rFonts w:ascii="Times New Roman" w:hAnsi="Times New Roman"/>
        </w:rPr>
        <w:t>（6）起重作业要严格执行“十不吊”。起重钢丝绳在棱角处必须采取可靠的保护措施（快口保护），千斤绳不得打结、绞扭使用。</w:t>
      </w:r>
    </w:p>
    <w:p w14:paraId="7A506186">
      <w:pPr>
        <w:pStyle w:val="41"/>
        <w:spacing w:line="360" w:lineRule="auto"/>
        <w:ind w:firstLine="480"/>
        <w:rPr>
          <w:rFonts w:ascii="Times New Roman" w:hAnsi="Times New Roman"/>
        </w:rPr>
      </w:pPr>
      <w:r>
        <w:rPr>
          <w:rFonts w:ascii="Times New Roman" w:hAnsi="Times New Roman"/>
        </w:rPr>
        <w:t>（7）起重机械管理工作依据起重机械安全监察规定（国家质检总局令第92号）执行。</w:t>
      </w:r>
    </w:p>
    <w:p w14:paraId="46B90304">
      <w:pPr>
        <w:numPr>
          <w:ilvl w:val="-1"/>
          <w:numId w:val="0"/>
        </w:numPr>
        <w:tabs>
          <w:tab w:val="left" w:pos="0"/>
          <w:tab w:val="left" w:pos="397"/>
        </w:tabs>
        <w:adjustRightInd w:val="0"/>
        <w:spacing w:line="360" w:lineRule="auto"/>
        <w:ind w:left="0" w:firstLine="482"/>
        <w:rPr>
          <w:b/>
        </w:rPr>
      </w:pPr>
      <w:bookmarkStart w:id="414" w:name="_Toc391393506"/>
      <w:r>
        <w:rPr>
          <w:rFonts w:hint="default"/>
          <w:b/>
          <w:lang w:val="en-US" w:eastAsia="zh-CN"/>
        </w:rPr>
        <w:t>3.4.3</w:t>
      </w:r>
      <w:r>
        <w:rPr>
          <w:b/>
        </w:rPr>
        <w:t xml:space="preserve"> 焊接、切割与热处理安全</w:t>
      </w:r>
      <w:bookmarkEnd w:id="414"/>
    </w:p>
    <w:p w14:paraId="742D93BD">
      <w:pPr>
        <w:pStyle w:val="41"/>
        <w:spacing w:line="360" w:lineRule="auto"/>
        <w:ind w:firstLine="480"/>
        <w:rPr>
          <w:rFonts w:ascii="Times New Roman" w:hAnsi="Times New Roman"/>
        </w:rPr>
      </w:pPr>
      <w:r>
        <w:rPr>
          <w:rFonts w:ascii="Times New Roman" w:hAnsi="Times New Roman"/>
        </w:rPr>
        <w:t>（1）</w:t>
      </w:r>
      <w:r>
        <w:rPr>
          <w:rFonts w:hint="eastAsia" w:ascii="Times New Roman" w:hAnsi="Times New Roman"/>
          <w:lang w:eastAsia="zh-CN"/>
        </w:rPr>
        <w:t>投标人</w:t>
      </w:r>
      <w:r>
        <w:rPr>
          <w:rFonts w:ascii="Times New Roman" w:hAnsi="Times New Roman"/>
        </w:rPr>
        <w:t>对从事焊接、切割与热处理作业的人员管理应遵守DL5009.1《电力建设安全工作规程 第1部分》中第11.1.1～11.1.3条的规定。</w:t>
      </w:r>
    </w:p>
    <w:p w14:paraId="3F1909DC">
      <w:pPr>
        <w:pStyle w:val="41"/>
        <w:spacing w:line="360" w:lineRule="auto"/>
        <w:ind w:firstLine="480"/>
        <w:rPr>
          <w:rFonts w:ascii="Times New Roman" w:hAnsi="Times New Roman"/>
        </w:rPr>
      </w:pPr>
      <w:r>
        <w:rPr>
          <w:rFonts w:ascii="Times New Roman" w:hAnsi="Times New Roman"/>
        </w:rPr>
        <w:t>（2）</w:t>
      </w:r>
      <w:r>
        <w:rPr>
          <w:rFonts w:hint="eastAsia" w:ascii="Times New Roman" w:hAnsi="Times New Roman"/>
          <w:lang w:eastAsia="zh-CN"/>
        </w:rPr>
        <w:t>投标人</w:t>
      </w:r>
      <w:r>
        <w:rPr>
          <w:rFonts w:ascii="Times New Roman" w:hAnsi="Times New Roman"/>
        </w:rPr>
        <w:t>在电焊作业时应遵守DL5009.1中第11.2节的有关规定；在进行气焊与气割作业时应遵守DL5009.1中第11.3节的有关规定。</w:t>
      </w:r>
    </w:p>
    <w:p w14:paraId="4F39C89D">
      <w:pPr>
        <w:pStyle w:val="41"/>
        <w:spacing w:line="360" w:lineRule="auto"/>
        <w:ind w:firstLine="480"/>
        <w:rPr>
          <w:rFonts w:ascii="Times New Roman" w:hAnsi="Times New Roman"/>
          <w:bCs/>
        </w:rPr>
      </w:pPr>
      <w:r>
        <w:rPr>
          <w:rFonts w:ascii="Times New Roman" w:hAnsi="Times New Roman"/>
          <w:bCs/>
        </w:rPr>
        <w:t>（3）严格遵守焊接安全规定，严禁在带压的设备和盛装过油脂或可燃气体的容器上进行焊接作业，严禁在易燃材料附近及上、下方进行焊接作业。</w:t>
      </w:r>
    </w:p>
    <w:p w14:paraId="63826304">
      <w:pPr>
        <w:pStyle w:val="41"/>
        <w:spacing w:line="360" w:lineRule="auto"/>
        <w:ind w:firstLine="480"/>
        <w:rPr>
          <w:rFonts w:ascii="Times New Roman" w:hAnsi="Times New Roman"/>
          <w:bCs/>
        </w:rPr>
      </w:pPr>
      <w:r>
        <w:rPr>
          <w:rFonts w:ascii="Times New Roman" w:hAnsi="Times New Roman"/>
          <w:bCs/>
        </w:rPr>
        <w:t>（4）施工中氧、乙炔瓶分瓶放置间距应大于5米；距明火作业应大于10米。</w:t>
      </w:r>
    </w:p>
    <w:p w14:paraId="57D9B10C">
      <w:pPr>
        <w:numPr>
          <w:ilvl w:val="-1"/>
          <w:numId w:val="0"/>
        </w:numPr>
        <w:tabs>
          <w:tab w:val="left" w:pos="0"/>
          <w:tab w:val="left" w:pos="397"/>
        </w:tabs>
        <w:adjustRightInd w:val="0"/>
        <w:spacing w:line="360" w:lineRule="auto"/>
        <w:ind w:left="0" w:firstLine="482"/>
        <w:rPr>
          <w:b/>
        </w:rPr>
      </w:pPr>
      <w:bookmarkStart w:id="415" w:name="_Toc391393509"/>
      <w:r>
        <w:rPr>
          <w:rFonts w:hint="default"/>
          <w:b/>
          <w:lang w:val="en-US" w:eastAsia="zh-CN"/>
        </w:rPr>
        <w:t>3.4.4</w:t>
      </w:r>
      <w:r>
        <w:rPr>
          <w:b/>
        </w:rPr>
        <w:t xml:space="preserve"> 消防</w:t>
      </w:r>
      <w:bookmarkEnd w:id="415"/>
    </w:p>
    <w:p w14:paraId="07CFAF70">
      <w:pPr>
        <w:pStyle w:val="41"/>
        <w:spacing w:line="360" w:lineRule="auto"/>
        <w:ind w:firstLine="480"/>
        <w:rPr>
          <w:rFonts w:ascii="Times New Roman" w:hAnsi="Times New Roman"/>
        </w:rPr>
      </w:pPr>
      <w:r>
        <w:rPr>
          <w:rFonts w:ascii="Times New Roman" w:hAnsi="Times New Roman"/>
        </w:rPr>
        <w:t>（1）</w:t>
      </w:r>
      <w:r>
        <w:rPr>
          <w:rFonts w:hint="eastAsia" w:ascii="Times New Roman" w:hAnsi="Times New Roman"/>
          <w:lang w:eastAsia="zh-CN"/>
        </w:rPr>
        <w:t>投标人</w:t>
      </w:r>
      <w:r>
        <w:rPr>
          <w:rFonts w:ascii="Times New Roman" w:hAnsi="Times New Roman"/>
        </w:rPr>
        <w:t>应遵守《中华人民共和国消防法》，并负责其自己辖区内的消防工作。</w:t>
      </w:r>
      <w:r>
        <w:rPr>
          <w:rFonts w:hint="eastAsia" w:ascii="Times New Roman" w:hAnsi="Times New Roman"/>
          <w:lang w:eastAsia="zh-CN"/>
        </w:rPr>
        <w:t>投标人</w:t>
      </w:r>
      <w:r>
        <w:rPr>
          <w:rFonts w:ascii="Times New Roman" w:hAnsi="Times New Roman"/>
        </w:rPr>
        <w:t>应对其辖区内发生的火灾及其造成的人员伤亡和财产损失负责。</w:t>
      </w:r>
    </w:p>
    <w:p w14:paraId="777CBD8E">
      <w:pPr>
        <w:pStyle w:val="41"/>
        <w:spacing w:line="360" w:lineRule="auto"/>
        <w:ind w:firstLine="480"/>
        <w:rPr>
          <w:rFonts w:ascii="Times New Roman" w:hAnsi="Times New Roman"/>
        </w:rPr>
      </w:pPr>
      <w:r>
        <w:rPr>
          <w:rFonts w:ascii="Times New Roman" w:hAnsi="Times New Roman"/>
        </w:rPr>
        <w:t>（2）</w:t>
      </w:r>
      <w:r>
        <w:rPr>
          <w:rFonts w:hint="eastAsia" w:ascii="Times New Roman" w:hAnsi="Times New Roman"/>
          <w:lang w:eastAsia="zh-CN"/>
        </w:rPr>
        <w:t>投标人</w:t>
      </w:r>
      <w:r>
        <w:rPr>
          <w:rFonts w:ascii="Times New Roman" w:hAnsi="Times New Roman"/>
        </w:rPr>
        <w:t>应建立现场消防组织，配置必要的消防专职人员和消防设备器材。消防设备的型号和功率应满足消防任务的需要。在现场配备必要的灭火器材、设置防火警示标志，保持畅通的消防通道。</w:t>
      </w:r>
    </w:p>
    <w:p w14:paraId="4DDE76DF">
      <w:pPr>
        <w:pStyle w:val="41"/>
        <w:spacing w:line="360" w:lineRule="auto"/>
        <w:ind w:firstLine="480"/>
        <w:rPr>
          <w:rFonts w:ascii="Times New Roman" w:hAnsi="Times New Roman"/>
        </w:rPr>
      </w:pPr>
      <w:r>
        <w:rPr>
          <w:rFonts w:ascii="Times New Roman" w:hAnsi="Times New Roman"/>
        </w:rPr>
        <w:t>（3）</w:t>
      </w:r>
      <w:r>
        <w:rPr>
          <w:rFonts w:hint="eastAsia" w:ascii="Times New Roman" w:hAnsi="Times New Roman"/>
          <w:lang w:eastAsia="zh-CN"/>
        </w:rPr>
        <w:t>投标人</w:t>
      </w:r>
      <w:r>
        <w:rPr>
          <w:rFonts w:ascii="Times New Roman" w:hAnsi="Times New Roman"/>
        </w:rPr>
        <w:t>应对职工进行经常性的消防知识教育和消防安全训练，消防设备器材应经常检查和保养，使其处于良好的待命状态。</w:t>
      </w:r>
    </w:p>
    <w:p w14:paraId="197DA123">
      <w:pPr>
        <w:pStyle w:val="41"/>
        <w:spacing w:line="360" w:lineRule="auto"/>
        <w:ind w:firstLine="480"/>
        <w:rPr>
          <w:rFonts w:ascii="Times New Roman" w:hAnsi="Times New Roman"/>
        </w:rPr>
      </w:pPr>
      <w:r>
        <w:rPr>
          <w:rFonts w:ascii="Times New Roman" w:hAnsi="Times New Roman"/>
        </w:rPr>
        <w:t>（4）</w:t>
      </w:r>
      <w:r>
        <w:rPr>
          <w:rFonts w:hint="eastAsia" w:ascii="Times New Roman" w:hAnsi="Times New Roman"/>
          <w:lang w:eastAsia="zh-CN"/>
        </w:rPr>
        <w:t>投标人</w:t>
      </w:r>
      <w:r>
        <w:rPr>
          <w:rFonts w:ascii="Times New Roman" w:hAnsi="Times New Roman"/>
        </w:rPr>
        <w:t>应制定经常性的消防检查制度，划分施工现场的防火责任区。</w:t>
      </w:r>
      <w:r>
        <w:rPr>
          <w:rFonts w:hint="eastAsia" w:ascii="Times New Roman" w:hAnsi="Times New Roman"/>
          <w:lang w:eastAsia="zh-CN"/>
        </w:rPr>
        <w:t>投标人</w:t>
      </w:r>
      <w:r>
        <w:rPr>
          <w:rFonts w:ascii="Times New Roman" w:hAnsi="Times New Roman"/>
        </w:rPr>
        <w:t>的消防专职人员应定期检查各施工现场，以及办公与生活区的消防安全，特别是用电安全。</w:t>
      </w:r>
    </w:p>
    <w:p w14:paraId="75D61684">
      <w:pPr>
        <w:tabs>
          <w:tab w:val="left" w:pos="0"/>
          <w:tab w:val="left" w:pos="397"/>
        </w:tabs>
        <w:adjustRightInd w:val="0"/>
        <w:spacing w:line="360" w:lineRule="auto"/>
        <w:ind w:firstLine="482"/>
        <w:outlineLvl w:val="1"/>
        <w:rPr>
          <w:b/>
        </w:rPr>
      </w:pPr>
      <w:bookmarkStart w:id="416" w:name="_Toc11922"/>
      <w:bookmarkStart w:id="417" w:name="_Toc17693"/>
      <w:bookmarkStart w:id="418" w:name="_Toc32332"/>
      <w:bookmarkStart w:id="419" w:name="_Toc27023"/>
      <w:bookmarkStart w:id="420" w:name="_Toc190958907"/>
      <w:bookmarkStart w:id="421" w:name="_Toc29354"/>
      <w:bookmarkStart w:id="422" w:name="_Toc391393510"/>
      <w:bookmarkStart w:id="423" w:name="_Toc393441037"/>
      <w:r>
        <w:rPr>
          <w:b/>
        </w:rPr>
        <w:t>3.5 应急救援措施</w:t>
      </w:r>
      <w:bookmarkEnd w:id="416"/>
      <w:bookmarkEnd w:id="417"/>
      <w:bookmarkEnd w:id="418"/>
      <w:bookmarkEnd w:id="419"/>
      <w:bookmarkEnd w:id="420"/>
      <w:bookmarkEnd w:id="421"/>
      <w:bookmarkEnd w:id="422"/>
      <w:bookmarkEnd w:id="423"/>
    </w:p>
    <w:p w14:paraId="77206D37">
      <w:pPr>
        <w:numPr>
          <w:ilvl w:val="-1"/>
          <w:numId w:val="0"/>
        </w:numPr>
        <w:tabs>
          <w:tab w:val="left" w:pos="0"/>
          <w:tab w:val="left" w:pos="397"/>
        </w:tabs>
        <w:adjustRightInd w:val="0"/>
        <w:spacing w:line="360" w:lineRule="auto"/>
        <w:ind w:left="0" w:firstLine="482"/>
        <w:rPr>
          <w:b/>
        </w:rPr>
      </w:pPr>
      <w:bookmarkStart w:id="424" w:name="_Toc391393511"/>
      <w:r>
        <w:rPr>
          <w:rFonts w:hint="default"/>
          <w:b/>
          <w:lang w:val="en-US" w:eastAsia="zh-CN"/>
        </w:rPr>
        <w:t>3.5.1</w:t>
      </w:r>
      <w:r>
        <w:rPr>
          <w:b/>
        </w:rPr>
        <w:t xml:space="preserve"> 事故应急救援预案</w:t>
      </w:r>
      <w:bookmarkEnd w:id="424"/>
    </w:p>
    <w:p w14:paraId="63E34CF5">
      <w:pPr>
        <w:pStyle w:val="41"/>
        <w:spacing w:line="360" w:lineRule="auto"/>
        <w:ind w:firstLine="480"/>
        <w:rPr>
          <w:rFonts w:ascii="Times New Roman" w:hAnsi="Times New Roman"/>
        </w:rPr>
      </w:pPr>
      <w:r>
        <w:rPr>
          <w:rFonts w:ascii="Times New Roman" w:hAnsi="Times New Roman"/>
        </w:rPr>
        <w:t>（1）</w:t>
      </w:r>
      <w:r>
        <w:rPr>
          <w:rFonts w:hint="eastAsia" w:ascii="Times New Roman" w:hAnsi="Times New Roman"/>
          <w:lang w:eastAsia="zh-CN"/>
        </w:rPr>
        <w:t>投标人</w:t>
      </w:r>
      <w:r>
        <w:rPr>
          <w:rFonts w:ascii="Times New Roman" w:hAnsi="Times New Roman"/>
        </w:rPr>
        <w:t>应制定生产安全事故的应急救援预案，应急救援预案应能随时紧急调动应救人员，救援专职人员应定期组织演练。</w:t>
      </w:r>
    </w:p>
    <w:p w14:paraId="3A27203D">
      <w:pPr>
        <w:pStyle w:val="41"/>
        <w:spacing w:line="360" w:lineRule="auto"/>
        <w:ind w:firstLine="480"/>
        <w:rPr>
          <w:rFonts w:ascii="Times New Roman" w:hAnsi="Times New Roman"/>
        </w:rPr>
      </w:pPr>
      <w:r>
        <w:rPr>
          <w:rFonts w:ascii="Times New Roman" w:hAnsi="Times New Roman"/>
        </w:rPr>
        <w:t>（2）</w:t>
      </w:r>
      <w:r>
        <w:rPr>
          <w:rFonts w:hint="eastAsia" w:ascii="Times New Roman" w:hAnsi="Times New Roman"/>
          <w:lang w:eastAsia="zh-CN"/>
        </w:rPr>
        <w:t>投标人</w:t>
      </w:r>
      <w:r>
        <w:rPr>
          <w:rFonts w:ascii="Times New Roman" w:hAnsi="Times New Roman"/>
        </w:rPr>
        <w:t>应按事故应急救援预案配备充足的应急救援物资。</w:t>
      </w:r>
    </w:p>
    <w:p w14:paraId="03EB8581">
      <w:pPr>
        <w:pStyle w:val="41"/>
        <w:spacing w:line="360" w:lineRule="auto"/>
        <w:ind w:firstLine="480"/>
        <w:rPr>
          <w:rFonts w:ascii="Times New Roman" w:hAnsi="Times New Roman"/>
        </w:rPr>
      </w:pPr>
      <w:r>
        <w:rPr>
          <w:rFonts w:ascii="Times New Roman" w:hAnsi="Times New Roman"/>
        </w:rPr>
        <w:t>（3）发生事故后，</w:t>
      </w:r>
      <w:r>
        <w:rPr>
          <w:rFonts w:hint="eastAsia" w:ascii="Times New Roman" w:hAnsi="Times New Roman"/>
          <w:lang w:eastAsia="zh-CN"/>
        </w:rPr>
        <w:t>投标人</w:t>
      </w:r>
      <w:r>
        <w:rPr>
          <w:rFonts w:ascii="Times New Roman" w:hAnsi="Times New Roman"/>
        </w:rPr>
        <w:t>应按应急救援要求，配备必需的应急救援器材和设备，并及时将应急救援的措施报告提交</w:t>
      </w:r>
      <w:r>
        <w:rPr>
          <w:rFonts w:hint="eastAsia" w:ascii="Times New Roman" w:hAnsi="Times New Roman"/>
          <w:lang w:eastAsia="zh-CN"/>
        </w:rPr>
        <w:t>招标人</w:t>
      </w:r>
      <w:r>
        <w:rPr>
          <w:rFonts w:ascii="Times New Roman" w:hAnsi="Times New Roman"/>
        </w:rPr>
        <w:t>。</w:t>
      </w:r>
    </w:p>
    <w:p w14:paraId="2773C1E1">
      <w:pPr>
        <w:numPr>
          <w:ilvl w:val="-1"/>
          <w:numId w:val="0"/>
        </w:numPr>
        <w:tabs>
          <w:tab w:val="left" w:pos="0"/>
          <w:tab w:val="left" w:pos="397"/>
        </w:tabs>
        <w:adjustRightInd w:val="0"/>
        <w:spacing w:line="360" w:lineRule="auto"/>
        <w:ind w:left="0" w:firstLine="482"/>
        <w:rPr>
          <w:b/>
        </w:rPr>
      </w:pPr>
      <w:bookmarkStart w:id="425" w:name="_Toc391393512"/>
      <w:r>
        <w:rPr>
          <w:rFonts w:hint="default"/>
          <w:b/>
          <w:lang w:val="en-US" w:eastAsia="zh-CN"/>
        </w:rPr>
        <w:t>3.5.2</w:t>
      </w:r>
      <w:r>
        <w:rPr>
          <w:b/>
        </w:rPr>
        <w:t xml:space="preserve"> 伤亡事故处理</w:t>
      </w:r>
      <w:bookmarkEnd w:id="425"/>
    </w:p>
    <w:p w14:paraId="4378F3B1">
      <w:pPr>
        <w:pStyle w:val="41"/>
        <w:spacing w:line="360" w:lineRule="auto"/>
        <w:ind w:firstLine="480"/>
        <w:rPr>
          <w:rFonts w:ascii="Times New Roman" w:hAnsi="Times New Roman"/>
        </w:rPr>
      </w:pPr>
      <w:r>
        <w:rPr>
          <w:rFonts w:ascii="Times New Roman" w:hAnsi="Times New Roman"/>
        </w:rPr>
        <w:t>（1）施工过程中，若发生施工生产人员或第三者人员的伤亡事故时，</w:t>
      </w:r>
      <w:r>
        <w:rPr>
          <w:rFonts w:hint="eastAsia" w:ascii="Times New Roman" w:hAnsi="Times New Roman"/>
          <w:lang w:eastAsia="zh-CN"/>
        </w:rPr>
        <w:t>投标人</w:t>
      </w:r>
      <w:r>
        <w:rPr>
          <w:rFonts w:ascii="Times New Roman" w:hAnsi="Times New Roman"/>
        </w:rPr>
        <w:t>应及时进行处理，并立即报告</w:t>
      </w:r>
      <w:r>
        <w:rPr>
          <w:rFonts w:hint="eastAsia" w:ascii="Times New Roman" w:hAnsi="Times New Roman"/>
          <w:lang w:eastAsia="zh-CN"/>
        </w:rPr>
        <w:t>招标人</w:t>
      </w:r>
      <w:r>
        <w:rPr>
          <w:rFonts w:ascii="Times New Roman" w:hAnsi="Times New Roman"/>
        </w:rPr>
        <w:t>和</w:t>
      </w:r>
      <w:r>
        <w:rPr>
          <w:rFonts w:hint="eastAsia" w:ascii="Times New Roman" w:hAnsi="Times New Roman"/>
          <w:lang w:eastAsia="zh-CN"/>
        </w:rPr>
        <w:t>招标人</w:t>
      </w:r>
      <w:r>
        <w:rPr>
          <w:rFonts w:ascii="Times New Roman" w:hAnsi="Times New Roman"/>
        </w:rPr>
        <w:t>。</w:t>
      </w:r>
    </w:p>
    <w:p w14:paraId="568577FB">
      <w:pPr>
        <w:pStyle w:val="41"/>
        <w:spacing w:line="360" w:lineRule="auto"/>
        <w:ind w:firstLine="480"/>
        <w:rPr>
          <w:rFonts w:ascii="Times New Roman" w:hAnsi="Times New Roman"/>
        </w:rPr>
      </w:pPr>
      <w:r>
        <w:rPr>
          <w:rFonts w:ascii="Times New Roman" w:hAnsi="Times New Roman"/>
        </w:rPr>
        <w:t>（2）发生重大伤亡或特大事故时，</w:t>
      </w:r>
      <w:r>
        <w:rPr>
          <w:rFonts w:hint="eastAsia" w:ascii="Times New Roman" w:hAnsi="Times New Roman"/>
          <w:lang w:eastAsia="zh-CN"/>
        </w:rPr>
        <w:t>投标人</w:t>
      </w:r>
      <w:r>
        <w:rPr>
          <w:rFonts w:ascii="Times New Roman" w:hAnsi="Times New Roman"/>
        </w:rPr>
        <w:t>必须保护事故现场，立即报告</w:t>
      </w:r>
      <w:r>
        <w:rPr>
          <w:rFonts w:hint="eastAsia" w:ascii="Times New Roman" w:hAnsi="Times New Roman"/>
          <w:lang w:eastAsia="zh-CN"/>
        </w:rPr>
        <w:t>招标人</w:t>
      </w:r>
      <w:r>
        <w:rPr>
          <w:rFonts w:ascii="Times New Roman" w:hAnsi="Times New Roman"/>
        </w:rPr>
        <w:t>和当地政府的安全管理部门，并在当地政府的支持和协助下，按国家有关规定妥善处理好事故。</w:t>
      </w:r>
    </w:p>
    <w:p w14:paraId="686CBA68">
      <w:pPr>
        <w:pStyle w:val="41"/>
        <w:spacing w:line="360" w:lineRule="auto"/>
        <w:ind w:firstLine="480"/>
        <w:rPr>
          <w:rFonts w:ascii="Times New Roman" w:hAnsi="Times New Roman"/>
        </w:rPr>
      </w:pPr>
      <w:r>
        <w:rPr>
          <w:rFonts w:ascii="Times New Roman" w:hAnsi="Times New Roman"/>
        </w:rPr>
        <w:t>（3）事故处理结案后，</w:t>
      </w:r>
      <w:r>
        <w:rPr>
          <w:rFonts w:hint="eastAsia" w:ascii="Times New Roman" w:hAnsi="Times New Roman"/>
          <w:lang w:eastAsia="zh-CN"/>
        </w:rPr>
        <w:t>投标人</w:t>
      </w:r>
      <w:r>
        <w:rPr>
          <w:rFonts w:ascii="Times New Roman" w:hAnsi="Times New Roman"/>
        </w:rPr>
        <w:t>应向公众张榜告示处理事故结果。</w:t>
      </w:r>
    </w:p>
    <w:p w14:paraId="22DEFBA6">
      <w:pPr>
        <w:adjustRightInd w:val="0"/>
        <w:spacing w:line="360" w:lineRule="auto"/>
        <w:ind w:firstLine="480"/>
        <w:sectPr>
          <w:pgSz w:w="11906" w:h="16838"/>
          <w:pgMar w:top="1418" w:right="1418" w:bottom="1418" w:left="1418" w:header="1021" w:footer="1021" w:gutter="0"/>
          <w:cols w:space="720" w:num="1"/>
          <w:docGrid w:type="linesAndChars" w:linePitch="312" w:charSpace="0"/>
        </w:sectPr>
      </w:pPr>
    </w:p>
    <w:p w14:paraId="6CF2F457">
      <w:pPr>
        <w:adjustRightInd w:val="0"/>
        <w:spacing w:line="360" w:lineRule="auto"/>
        <w:ind w:firstLine="0" w:firstLineChars="0"/>
        <w:jc w:val="center"/>
        <w:outlineLvl w:val="0"/>
        <w:rPr>
          <w:b/>
          <w:sz w:val="32"/>
          <w:szCs w:val="32"/>
        </w:rPr>
      </w:pPr>
      <w:bookmarkStart w:id="426" w:name="_Toc8133"/>
      <w:bookmarkStart w:id="427" w:name="_Toc29826"/>
      <w:bookmarkStart w:id="428" w:name="_Toc1579"/>
      <w:bookmarkStart w:id="429" w:name="_Toc31636"/>
      <w:bookmarkStart w:id="430" w:name="_Toc25436"/>
      <w:bookmarkStart w:id="431" w:name="_Toc393441038"/>
      <w:bookmarkStart w:id="432" w:name="_Toc190958908"/>
      <w:bookmarkStart w:id="433" w:name="_Toc391286530"/>
      <w:bookmarkStart w:id="434" w:name="_Toc391286451"/>
      <w:r>
        <w:rPr>
          <w:b/>
          <w:sz w:val="32"/>
          <w:szCs w:val="32"/>
        </w:rPr>
        <w:t>第4章  环境保护和水土保持</w:t>
      </w:r>
      <w:bookmarkEnd w:id="426"/>
      <w:bookmarkEnd w:id="427"/>
      <w:bookmarkEnd w:id="428"/>
      <w:bookmarkEnd w:id="429"/>
      <w:bookmarkEnd w:id="430"/>
      <w:bookmarkEnd w:id="431"/>
      <w:bookmarkEnd w:id="432"/>
    </w:p>
    <w:p w14:paraId="2BCCFE28">
      <w:pPr>
        <w:numPr>
          <w:ilvl w:val="1"/>
          <w:numId w:val="10"/>
        </w:numPr>
        <w:adjustRightInd w:val="0"/>
        <w:spacing w:line="360" w:lineRule="auto"/>
        <w:ind w:left="0" w:firstLine="480"/>
        <w:outlineLvl w:val="1"/>
      </w:pPr>
      <w:bookmarkStart w:id="435" w:name="_Toc21031"/>
      <w:bookmarkStart w:id="436" w:name="_Toc1290"/>
      <w:bookmarkStart w:id="437" w:name="_Toc27155"/>
      <w:bookmarkStart w:id="438" w:name="_Toc7622"/>
      <w:bookmarkStart w:id="439" w:name="_Toc393441039"/>
      <w:bookmarkStart w:id="440" w:name="_Toc16121"/>
      <w:bookmarkStart w:id="441" w:name="_Toc190958909"/>
      <w:r>
        <w:t>一般规定</w:t>
      </w:r>
      <w:bookmarkEnd w:id="433"/>
      <w:bookmarkEnd w:id="434"/>
      <w:bookmarkEnd w:id="435"/>
      <w:bookmarkEnd w:id="436"/>
      <w:bookmarkEnd w:id="437"/>
      <w:bookmarkEnd w:id="438"/>
      <w:bookmarkEnd w:id="439"/>
      <w:bookmarkEnd w:id="440"/>
      <w:bookmarkEnd w:id="441"/>
    </w:p>
    <w:p w14:paraId="24EDCF7E">
      <w:pPr>
        <w:numPr>
          <w:ilvl w:val="2"/>
          <w:numId w:val="11"/>
        </w:numPr>
        <w:adjustRightInd w:val="0"/>
        <w:spacing w:line="360" w:lineRule="auto"/>
        <w:ind w:left="0" w:firstLine="480"/>
        <w:rPr>
          <w:bCs/>
        </w:rPr>
      </w:pPr>
      <w:bookmarkStart w:id="442" w:name="_Toc391286531"/>
      <w:bookmarkStart w:id="443" w:name="_Toc391286452"/>
      <w:r>
        <w:rPr>
          <w:bCs/>
        </w:rPr>
        <w:t xml:space="preserve"> 应用范围</w:t>
      </w:r>
      <w:bookmarkEnd w:id="442"/>
      <w:bookmarkEnd w:id="443"/>
    </w:p>
    <w:p w14:paraId="3230AEBD">
      <w:pPr>
        <w:adjustRightInd w:val="0"/>
        <w:spacing w:line="360" w:lineRule="auto"/>
        <w:ind w:firstLine="480"/>
      </w:pPr>
      <w:r>
        <w:t>本章规定适用于本工程施工期的生产、生活区环境保护和水土保持的有关工作，其主要工作范围和内容包括：施工、生活污水和废水处理、大气环境与声环境保护、固体废弃物处理、水土保持、完工后的场地清理与植被恢复等。</w:t>
      </w:r>
    </w:p>
    <w:p w14:paraId="700CE333">
      <w:pPr>
        <w:numPr>
          <w:ilvl w:val="2"/>
          <w:numId w:val="11"/>
        </w:numPr>
        <w:adjustRightInd w:val="0"/>
        <w:spacing w:line="360" w:lineRule="auto"/>
        <w:ind w:left="0" w:firstLine="480"/>
        <w:rPr>
          <w:bCs/>
        </w:rPr>
      </w:pPr>
      <w:bookmarkStart w:id="444" w:name="_Toc391286532"/>
      <w:bookmarkStart w:id="445" w:name="_Toc391286453"/>
      <w:r>
        <w:rPr>
          <w:bCs/>
        </w:rPr>
        <w:t xml:space="preserve"> </w:t>
      </w:r>
      <w:r>
        <w:rPr>
          <w:rFonts w:hint="eastAsia"/>
          <w:bCs/>
          <w:lang w:eastAsia="zh-CN"/>
        </w:rPr>
        <w:t>投标人</w:t>
      </w:r>
      <w:r>
        <w:rPr>
          <w:bCs/>
        </w:rPr>
        <w:t>的责任</w:t>
      </w:r>
      <w:bookmarkEnd w:id="444"/>
      <w:bookmarkEnd w:id="445"/>
    </w:p>
    <w:p w14:paraId="7A6B4284">
      <w:pPr>
        <w:adjustRightInd w:val="0"/>
        <w:spacing w:line="360" w:lineRule="auto"/>
        <w:ind w:firstLine="480"/>
      </w:pPr>
      <w:r>
        <w:t>（1）</w:t>
      </w:r>
      <w:r>
        <w:rPr>
          <w:rFonts w:hint="eastAsia"/>
          <w:lang w:eastAsia="zh-CN"/>
        </w:rPr>
        <w:t>投标人</w:t>
      </w:r>
      <w:r>
        <w:t>必须遵守有关环境保护和水土保持的法律、法规和规章，并按照本合同技术条款的有关规定，做好施工区及生活区的环境保护与水土保持工作。</w:t>
      </w:r>
    </w:p>
    <w:p w14:paraId="5716D258">
      <w:pPr>
        <w:adjustRightInd w:val="0"/>
        <w:spacing w:line="360" w:lineRule="auto"/>
        <w:ind w:firstLine="480"/>
      </w:pPr>
      <w:r>
        <w:t>（2）</w:t>
      </w:r>
      <w:r>
        <w:rPr>
          <w:rFonts w:hint="eastAsia"/>
          <w:lang w:eastAsia="zh-CN"/>
        </w:rPr>
        <w:t>投标人</w:t>
      </w:r>
      <w:r>
        <w:t>应按施工图纸和</w:t>
      </w:r>
      <w:r>
        <w:rPr>
          <w:rFonts w:hint="eastAsia"/>
          <w:lang w:eastAsia="zh-CN"/>
        </w:rPr>
        <w:t>招标人</w:t>
      </w:r>
      <w:r>
        <w:t>的指示，以及本技术条款的规定，完成本工程范围内相关环境保护和水土保持措施。</w:t>
      </w:r>
    </w:p>
    <w:p w14:paraId="2A2A2F15">
      <w:pPr>
        <w:adjustRightInd w:val="0"/>
        <w:spacing w:line="360" w:lineRule="auto"/>
        <w:ind w:firstLine="480"/>
      </w:pPr>
      <w:r>
        <w:t>（4）</w:t>
      </w:r>
      <w:r>
        <w:rPr>
          <w:rFonts w:hint="eastAsia"/>
          <w:lang w:eastAsia="zh-CN"/>
        </w:rPr>
        <w:t>投标人</w:t>
      </w:r>
      <w:r>
        <w:t>应按合同约定，接受国家和地方环境保护、水行政等主管部门的监督和检查及</w:t>
      </w:r>
      <w:r>
        <w:rPr>
          <w:rFonts w:hint="eastAsia"/>
          <w:lang w:eastAsia="zh-CN"/>
        </w:rPr>
        <w:t>招标人</w:t>
      </w:r>
      <w:r>
        <w:t>监督。按照行政主管部门要求提交专项方案，并按流程报审、实施。</w:t>
      </w:r>
      <w:r>
        <w:rPr>
          <w:rFonts w:hint="eastAsia"/>
          <w:lang w:eastAsia="zh-CN"/>
        </w:rPr>
        <w:t>投标人</w:t>
      </w:r>
      <w:r>
        <w:t>应对其违反上述法律、法规和规章以及本合同规定所造成的环境污染、水土流失、人员伤害和财产损失等承担责任。</w:t>
      </w:r>
    </w:p>
    <w:p w14:paraId="6080C084">
      <w:pPr>
        <w:numPr>
          <w:ilvl w:val="1"/>
          <w:numId w:val="10"/>
        </w:numPr>
        <w:adjustRightInd w:val="0"/>
        <w:spacing w:line="360" w:lineRule="auto"/>
        <w:ind w:left="0" w:firstLine="480"/>
        <w:outlineLvl w:val="1"/>
      </w:pPr>
      <w:bookmarkStart w:id="446" w:name="_Toc393441040"/>
      <w:bookmarkStart w:id="447" w:name="_Toc391286456"/>
      <w:bookmarkStart w:id="448" w:name="_Toc391286535"/>
      <w:r>
        <w:t xml:space="preserve"> </w:t>
      </w:r>
      <w:bookmarkStart w:id="449" w:name="_Toc31185"/>
      <w:bookmarkStart w:id="450" w:name="_Toc4804"/>
      <w:bookmarkStart w:id="451" w:name="_Toc190958910"/>
      <w:bookmarkStart w:id="452" w:name="_Toc19739"/>
      <w:bookmarkStart w:id="453" w:name="_Toc19056"/>
      <w:bookmarkStart w:id="454" w:name="_Toc4044"/>
      <w:r>
        <w:t>施工环境保护</w:t>
      </w:r>
      <w:bookmarkEnd w:id="446"/>
      <w:bookmarkEnd w:id="447"/>
      <w:bookmarkEnd w:id="448"/>
      <w:bookmarkEnd w:id="449"/>
      <w:bookmarkEnd w:id="450"/>
      <w:bookmarkEnd w:id="451"/>
      <w:bookmarkEnd w:id="452"/>
      <w:bookmarkEnd w:id="453"/>
      <w:bookmarkEnd w:id="454"/>
    </w:p>
    <w:p w14:paraId="153F3AD3">
      <w:pPr>
        <w:numPr>
          <w:ilvl w:val="2"/>
          <w:numId w:val="12"/>
        </w:numPr>
        <w:adjustRightInd w:val="0"/>
        <w:spacing w:line="360" w:lineRule="auto"/>
        <w:ind w:left="0" w:firstLine="480"/>
        <w:rPr>
          <w:b/>
          <w:bCs/>
        </w:rPr>
      </w:pPr>
      <w:bookmarkStart w:id="455" w:name="_Toc391286457"/>
      <w:bookmarkStart w:id="456" w:name="_Toc391286536"/>
      <w:r>
        <w:rPr>
          <w:bCs/>
        </w:rPr>
        <w:t xml:space="preserve"> 生活供水及生活废水处理</w:t>
      </w:r>
      <w:bookmarkEnd w:id="455"/>
      <w:bookmarkEnd w:id="456"/>
    </w:p>
    <w:p w14:paraId="783A1FC3">
      <w:pPr>
        <w:adjustRightInd w:val="0"/>
        <w:spacing w:line="360" w:lineRule="auto"/>
        <w:ind w:firstLine="480"/>
      </w:pPr>
      <w:r>
        <w:t>饮用水水质应符合GB 5749《生活饮用水卫生标准》的规定。</w:t>
      </w:r>
    </w:p>
    <w:p w14:paraId="63A3C5B3">
      <w:pPr>
        <w:numPr>
          <w:ilvl w:val="2"/>
          <w:numId w:val="12"/>
        </w:numPr>
        <w:adjustRightInd w:val="0"/>
        <w:spacing w:line="360" w:lineRule="auto"/>
        <w:ind w:left="0" w:firstLine="480"/>
        <w:rPr>
          <w:bCs/>
        </w:rPr>
      </w:pPr>
      <w:bookmarkStart w:id="457" w:name="_Toc391286458"/>
      <w:bookmarkStart w:id="458" w:name="_Toc391286537"/>
      <w:r>
        <w:rPr>
          <w:bCs/>
        </w:rPr>
        <w:t xml:space="preserve"> 生产废水处理</w:t>
      </w:r>
      <w:bookmarkEnd w:id="457"/>
      <w:bookmarkEnd w:id="458"/>
    </w:p>
    <w:p w14:paraId="3D8366FD">
      <w:pPr>
        <w:adjustRightInd w:val="0"/>
        <w:spacing w:line="360" w:lineRule="auto"/>
        <w:ind w:firstLine="480"/>
      </w:pPr>
      <w:r>
        <w:t>（1）处理后的废水水质应符合受纳水体环境功能区规划规定的排放要求，或应遵守GB 8978《污水综合排放标准》的规定，不得将未处理的生活污水直接或间接排入河流湖海水体中，或造成生活供水系统的污染。</w:t>
      </w:r>
    </w:p>
    <w:p w14:paraId="2D6C35CB">
      <w:pPr>
        <w:adjustRightInd w:val="0"/>
        <w:spacing w:line="360" w:lineRule="auto"/>
        <w:ind w:firstLine="480"/>
      </w:pPr>
      <w:r>
        <w:t>（2）废水处理系统排出的污泥需进行脱水（或沉淀）处理，运至指定的弃渣场堆存。</w:t>
      </w:r>
      <w:r>
        <w:rPr>
          <w:rFonts w:hint="eastAsia"/>
          <w:lang w:eastAsia="zh-CN"/>
        </w:rPr>
        <w:t>投标人</w:t>
      </w:r>
      <w:r>
        <w:t>可委托专业单位进行处理，相关协议报</w:t>
      </w:r>
      <w:r>
        <w:rPr>
          <w:rFonts w:hint="eastAsia"/>
          <w:lang w:eastAsia="zh-CN"/>
        </w:rPr>
        <w:t>招标人</w:t>
      </w:r>
      <w:r>
        <w:t>。</w:t>
      </w:r>
    </w:p>
    <w:p w14:paraId="3F26645F">
      <w:pPr>
        <w:adjustRightInd w:val="0"/>
        <w:spacing w:line="360" w:lineRule="auto"/>
        <w:ind w:firstLine="480"/>
      </w:pPr>
      <w:r>
        <w:t>（3）机修及汽修系统的废水收集、处理系统应建立专用的废水收集管道，对含油较高的机修废水应选用成套油水分离设备进行油水分离。</w:t>
      </w:r>
    </w:p>
    <w:p w14:paraId="1C835AD2">
      <w:pPr>
        <w:numPr>
          <w:ilvl w:val="2"/>
          <w:numId w:val="12"/>
        </w:numPr>
        <w:adjustRightInd w:val="0"/>
        <w:spacing w:line="360" w:lineRule="auto"/>
        <w:ind w:left="0" w:firstLine="480"/>
        <w:rPr>
          <w:bCs/>
        </w:rPr>
      </w:pPr>
      <w:bookmarkStart w:id="459" w:name="_Toc391286538"/>
      <w:bookmarkStart w:id="460" w:name="_Toc391286459"/>
      <w:r>
        <w:rPr>
          <w:bCs/>
        </w:rPr>
        <w:t xml:space="preserve"> 施工区粉尘控制</w:t>
      </w:r>
      <w:bookmarkEnd w:id="459"/>
      <w:bookmarkEnd w:id="460"/>
    </w:p>
    <w:p w14:paraId="3ACC987C">
      <w:pPr>
        <w:adjustRightInd w:val="0"/>
        <w:spacing w:line="360" w:lineRule="auto"/>
        <w:ind w:firstLine="480"/>
      </w:pPr>
      <w:r>
        <w:t>（1）</w:t>
      </w:r>
      <w:r>
        <w:rPr>
          <w:rFonts w:hint="eastAsia"/>
          <w:lang w:eastAsia="zh-CN"/>
        </w:rPr>
        <w:t>投标人</w:t>
      </w:r>
      <w:r>
        <w:t>应根据施工设备类型和施工方法制定除尘实施细则，提交</w:t>
      </w:r>
      <w:r>
        <w:rPr>
          <w:rFonts w:hint="eastAsia"/>
          <w:lang w:eastAsia="zh-CN"/>
        </w:rPr>
        <w:t>招标人</w:t>
      </w:r>
      <w:r>
        <w:t>批准。施工过程中，</w:t>
      </w:r>
      <w:r>
        <w:rPr>
          <w:rFonts w:hint="eastAsia"/>
          <w:lang w:eastAsia="zh-CN"/>
        </w:rPr>
        <w:t>投标人</w:t>
      </w:r>
      <w:r>
        <w:t>应会同</w:t>
      </w:r>
      <w:r>
        <w:rPr>
          <w:rFonts w:hint="eastAsia"/>
          <w:lang w:eastAsia="zh-CN"/>
        </w:rPr>
        <w:t>招标人</w:t>
      </w:r>
      <w:r>
        <w:t>根据批准的除尘实施细则，随时进行除尘措施的检查和检测，并做好相应记录。</w:t>
      </w:r>
    </w:p>
    <w:p w14:paraId="7D261049">
      <w:pPr>
        <w:adjustRightInd w:val="0"/>
        <w:spacing w:line="360" w:lineRule="auto"/>
        <w:ind w:firstLine="480"/>
      </w:pPr>
      <w:r>
        <w:t>（2）</w:t>
      </w:r>
      <w:r>
        <w:rPr>
          <w:rFonts w:hint="eastAsia"/>
          <w:lang w:eastAsia="zh-CN"/>
        </w:rPr>
        <w:t>投标人</w:t>
      </w:r>
      <w:r>
        <w:t>制定的除尘措施，应遵守国家相关法律、规范的有关规定外，还应做到：</w:t>
      </w:r>
      <w:r>
        <w:rPr>
          <w:rFonts w:hint="eastAsia"/>
          <w:lang w:eastAsia="zh-CN"/>
        </w:rPr>
        <w:t>投标人</w:t>
      </w:r>
      <w:r>
        <w:t>应经常清扫施工场地和道路，向多尘工地和路面充分洒水；</w:t>
      </w:r>
    </w:p>
    <w:p w14:paraId="3642121B">
      <w:pPr>
        <w:numPr>
          <w:ilvl w:val="2"/>
          <w:numId w:val="12"/>
        </w:numPr>
        <w:adjustRightInd w:val="0"/>
        <w:spacing w:line="360" w:lineRule="auto"/>
        <w:ind w:left="0" w:firstLine="480"/>
        <w:rPr>
          <w:bCs/>
        </w:rPr>
      </w:pPr>
      <w:bookmarkStart w:id="461" w:name="_Toc391286539"/>
      <w:bookmarkStart w:id="462" w:name="_Toc391286460"/>
      <w:r>
        <w:rPr>
          <w:bCs/>
        </w:rPr>
        <w:t xml:space="preserve"> 施工区噪声污染控制</w:t>
      </w:r>
      <w:bookmarkEnd w:id="461"/>
      <w:bookmarkEnd w:id="462"/>
    </w:p>
    <w:p w14:paraId="476DF258">
      <w:pPr>
        <w:adjustRightInd w:val="0"/>
        <w:spacing w:line="360" w:lineRule="auto"/>
        <w:ind w:firstLine="480"/>
      </w:pPr>
      <w:r>
        <w:t>（1）施工期间，</w:t>
      </w:r>
      <w:r>
        <w:rPr>
          <w:rFonts w:hint="eastAsia"/>
          <w:lang w:eastAsia="zh-CN"/>
        </w:rPr>
        <w:t>投标人</w:t>
      </w:r>
      <w:r>
        <w:t>应按GB 12523《建筑施工场界环境噪声排放标准》的规定，控制生产车间、作业场所及生活区等地点噪声级卫生限值。</w:t>
      </w:r>
    </w:p>
    <w:p w14:paraId="07B09D8F">
      <w:pPr>
        <w:numPr>
          <w:ilvl w:val="1"/>
          <w:numId w:val="10"/>
        </w:numPr>
        <w:adjustRightInd w:val="0"/>
        <w:spacing w:line="360" w:lineRule="auto"/>
        <w:ind w:left="0" w:firstLine="480"/>
        <w:outlineLvl w:val="1"/>
      </w:pPr>
      <w:bookmarkStart w:id="463" w:name="_Toc393441042"/>
      <w:bookmarkStart w:id="464" w:name="_Toc391286545"/>
      <w:bookmarkStart w:id="465" w:name="_Toc391286465"/>
      <w:r>
        <w:t xml:space="preserve"> </w:t>
      </w:r>
      <w:bookmarkStart w:id="466" w:name="_Toc29052"/>
      <w:bookmarkStart w:id="467" w:name="_Toc29133"/>
      <w:bookmarkStart w:id="468" w:name="_Toc20092"/>
      <w:bookmarkStart w:id="469" w:name="_Toc24173"/>
      <w:bookmarkStart w:id="470" w:name="_Toc25685"/>
      <w:bookmarkStart w:id="471" w:name="_Toc190958911"/>
      <w:r>
        <w:t>水土保持</w:t>
      </w:r>
      <w:bookmarkEnd w:id="463"/>
      <w:bookmarkEnd w:id="464"/>
      <w:bookmarkEnd w:id="465"/>
      <w:bookmarkEnd w:id="466"/>
      <w:bookmarkEnd w:id="467"/>
      <w:bookmarkEnd w:id="468"/>
      <w:bookmarkEnd w:id="469"/>
      <w:bookmarkEnd w:id="470"/>
      <w:bookmarkEnd w:id="471"/>
    </w:p>
    <w:p w14:paraId="606CA61C">
      <w:pPr>
        <w:adjustRightInd w:val="0"/>
        <w:spacing w:line="360" w:lineRule="auto"/>
        <w:ind w:firstLine="480"/>
      </w:pPr>
      <w:r>
        <w:rPr>
          <w:rFonts w:hint="eastAsia"/>
          <w:lang w:eastAsia="zh-CN"/>
        </w:rPr>
        <w:t>投标人</w:t>
      </w:r>
      <w:r>
        <w:t>应按</w:t>
      </w:r>
      <w:r>
        <w:rPr>
          <w:rFonts w:hint="eastAsia"/>
          <w:lang w:eastAsia="zh-CN"/>
        </w:rPr>
        <w:t>招标人</w:t>
      </w:r>
      <w:r>
        <w:t>批准的水土保持措施计划，负责实施本合同责任范围内（施工场地、生活区、施工道路和渣场等）的水土保持措施，并在工程结束后，按合同要求进行场地清理和整治。</w:t>
      </w:r>
    </w:p>
    <w:p w14:paraId="46C3BA13">
      <w:pPr>
        <w:numPr>
          <w:ilvl w:val="1"/>
          <w:numId w:val="10"/>
        </w:numPr>
        <w:adjustRightInd w:val="0"/>
        <w:spacing w:line="360" w:lineRule="auto"/>
        <w:ind w:left="0" w:firstLine="480"/>
        <w:outlineLvl w:val="1"/>
      </w:pPr>
      <w:bookmarkStart w:id="472" w:name="_Toc391286468"/>
      <w:bookmarkStart w:id="473" w:name="_Toc391286548"/>
      <w:bookmarkStart w:id="474" w:name="_Toc393441043"/>
      <w:r>
        <w:t xml:space="preserve"> </w:t>
      </w:r>
      <w:bookmarkStart w:id="475" w:name="_Toc7239"/>
      <w:bookmarkStart w:id="476" w:name="_Toc11270"/>
      <w:bookmarkStart w:id="477" w:name="_Toc190958912"/>
      <w:bookmarkStart w:id="478" w:name="_Toc30086"/>
      <w:bookmarkStart w:id="479" w:name="_Toc14861"/>
      <w:bookmarkStart w:id="480" w:name="_Toc19135"/>
      <w:r>
        <w:t>环境清理</w:t>
      </w:r>
      <w:bookmarkEnd w:id="472"/>
      <w:bookmarkEnd w:id="473"/>
      <w:bookmarkEnd w:id="474"/>
      <w:bookmarkEnd w:id="475"/>
      <w:bookmarkEnd w:id="476"/>
      <w:bookmarkEnd w:id="477"/>
      <w:bookmarkEnd w:id="478"/>
      <w:bookmarkEnd w:id="479"/>
      <w:bookmarkEnd w:id="480"/>
    </w:p>
    <w:p w14:paraId="430EBFD8">
      <w:pPr>
        <w:numPr>
          <w:ilvl w:val="2"/>
          <w:numId w:val="13"/>
        </w:numPr>
        <w:adjustRightInd w:val="0"/>
        <w:spacing w:line="360" w:lineRule="auto"/>
        <w:ind w:left="0" w:firstLine="480"/>
        <w:rPr>
          <w:bCs/>
        </w:rPr>
      </w:pPr>
      <w:bookmarkStart w:id="481" w:name="_Toc391286469"/>
      <w:bookmarkStart w:id="482" w:name="_Toc391286549"/>
      <w:r>
        <w:rPr>
          <w:bCs/>
        </w:rPr>
        <w:t xml:space="preserve"> 环境清理措施计划</w:t>
      </w:r>
      <w:bookmarkEnd w:id="481"/>
      <w:bookmarkEnd w:id="482"/>
    </w:p>
    <w:p w14:paraId="2F8ABC8C">
      <w:pPr>
        <w:adjustRightInd w:val="0"/>
        <w:spacing w:line="360" w:lineRule="auto"/>
        <w:ind w:firstLine="480"/>
      </w:pPr>
      <w:r>
        <w:rPr>
          <w:rFonts w:hint="eastAsia"/>
          <w:lang w:eastAsia="zh-CN"/>
        </w:rPr>
        <w:t>投标人</w:t>
      </w:r>
      <w:r>
        <w:t>应按</w:t>
      </w:r>
      <w:r>
        <w:rPr>
          <w:rFonts w:hint="eastAsia"/>
          <w:lang w:eastAsia="zh-CN"/>
        </w:rPr>
        <w:t>招标人</w:t>
      </w:r>
      <w:r>
        <w:t>指示，在工程基本完工前，制定一份环境清理措施计划，提交</w:t>
      </w:r>
      <w:r>
        <w:rPr>
          <w:rFonts w:hint="eastAsia"/>
          <w:lang w:eastAsia="zh-CN"/>
        </w:rPr>
        <w:t>招标人</w:t>
      </w:r>
      <w:r>
        <w:t>批准，其内容应包括：环境清理范围（施工场地及施工场地以外遭受施工损坏的区域）；</w:t>
      </w:r>
    </w:p>
    <w:p w14:paraId="526C488E">
      <w:pPr>
        <w:numPr>
          <w:ilvl w:val="2"/>
          <w:numId w:val="13"/>
        </w:numPr>
        <w:adjustRightInd w:val="0"/>
        <w:spacing w:line="360" w:lineRule="auto"/>
        <w:ind w:left="0" w:firstLine="480"/>
        <w:rPr>
          <w:bCs/>
        </w:rPr>
      </w:pPr>
      <w:bookmarkStart w:id="483" w:name="_Toc391286470"/>
      <w:bookmarkStart w:id="484" w:name="_Toc391286550"/>
      <w:r>
        <w:rPr>
          <w:bCs/>
        </w:rPr>
        <w:t xml:space="preserve"> 环境清理</w:t>
      </w:r>
      <w:bookmarkEnd w:id="483"/>
      <w:bookmarkEnd w:id="484"/>
    </w:p>
    <w:p w14:paraId="0927E4CD">
      <w:pPr>
        <w:adjustRightInd w:val="0"/>
        <w:spacing w:line="360" w:lineRule="auto"/>
        <w:ind w:firstLine="480"/>
      </w:pPr>
      <w:r>
        <w:t>（1）在每一施工作业区施工结束后，</w:t>
      </w:r>
      <w:r>
        <w:rPr>
          <w:rFonts w:hint="eastAsia"/>
          <w:lang w:eastAsia="zh-CN"/>
        </w:rPr>
        <w:t>投标人</w:t>
      </w:r>
      <w:r>
        <w:t>应及时拆除各种临时建筑结构和各种临时设施。</w:t>
      </w:r>
    </w:p>
    <w:p w14:paraId="16F56350">
      <w:pPr>
        <w:adjustRightInd w:val="0"/>
        <w:spacing w:line="360" w:lineRule="auto"/>
        <w:ind w:firstLine="480"/>
      </w:pPr>
      <w:r>
        <w:t>（2）完工后，</w:t>
      </w:r>
      <w:r>
        <w:rPr>
          <w:rFonts w:hint="eastAsia"/>
          <w:lang w:eastAsia="zh-CN"/>
        </w:rPr>
        <w:t>投标人</w:t>
      </w:r>
      <w:r>
        <w:t>应按计划将所有材料和设备撤离现场，工地范围内废弃的材料、设备及其它生产垃圾应按环境规划要求和（或）</w:t>
      </w:r>
      <w:r>
        <w:rPr>
          <w:rFonts w:hint="eastAsia"/>
          <w:lang w:eastAsia="zh-CN"/>
        </w:rPr>
        <w:t>招标人</w:t>
      </w:r>
      <w:r>
        <w:t>指示的方式处理。</w:t>
      </w:r>
    </w:p>
    <w:p w14:paraId="761B1278">
      <w:pPr>
        <w:adjustRightInd w:val="0"/>
        <w:spacing w:line="360" w:lineRule="auto"/>
        <w:ind w:firstLine="0" w:firstLineChars="0"/>
        <w:jc w:val="center"/>
        <w:outlineLvl w:val="0"/>
        <w:rPr>
          <w:b/>
          <w:sz w:val="32"/>
          <w:szCs w:val="32"/>
        </w:rPr>
      </w:pPr>
      <w:r>
        <w:br w:type="page"/>
      </w:r>
      <w:bookmarkStart w:id="485" w:name="_Toc493237664"/>
      <w:bookmarkStart w:id="486" w:name="_Toc5237"/>
      <w:bookmarkStart w:id="487" w:name="_Toc29425"/>
      <w:bookmarkStart w:id="488" w:name="_Toc2297"/>
      <w:bookmarkStart w:id="489" w:name="_Toc3421"/>
      <w:bookmarkStart w:id="490" w:name="_Toc1564"/>
      <w:bookmarkStart w:id="491" w:name="_Toc190958913"/>
      <w:r>
        <w:rPr>
          <w:b/>
          <w:sz w:val="32"/>
          <w:szCs w:val="32"/>
        </w:rPr>
        <w:t>第5章</w:t>
      </w:r>
      <w:r>
        <w:rPr>
          <w:rFonts w:hint="eastAsia"/>
          <w:b/>
          <w:sz w:val="32"/>
          <w:szCs w:val="32"/>
        </w:rPr>
        <w:t xml:space="preserve"> </w:t>
      </w:r>
      <w:r>
        <w:rPr>
          <w:b/>
          <w:sz w:val="32"/>
          <w:szCs w:val="32"/>
        </w:rPr>
        <w:t xml:space="preserve"> 技术要求</w:t>
      </w:r>
      <w:bookmarkEnd w:id="485"/>
      <w:bookmarkEnd w:id="486"/>
      <w:bookmarkEnd w:id="487"/>
      <w:bookmarkEnd w:id="488"/>
      <w:bookmarkEnd w:id="489"/>
      <w:bookmarkEnd w:id="490"/>
      <w:bookmarkEnd w:id="491"/>
    </w:p>
    <w:p w14:paraId="1DBE70E8">
      <w:pPr>
        <w:numPr>
          <w:ilvl w:val="1"/>
          <w:numId w:val="14"/>
        </w:numPr>
        <w:adjustRightInd w:val="0"/>
        <w:spacing w:line="360" w:lineRule="auto"/>
        <w:ind w:left="0" w:firstLine="480"/>
        <w:outlineLvl w:val="1"/>
        <w:rPr>
          <w:b w:val="0"/>
          <w:vanish w:val="0"/>
          <w:color w:val="auto"/>
          <w:kern w:val="2"/>
        </w:rPr>
      </w:pPr>
      <w:bookmarkStart w:id="492" w:name="_Toc493237665"/>
      <w:r>
        <w:rPr>
          <w:b w:val="0"/>
        </w:rPr>
        <w:t xml:space="preserve">  </w:t>
      </w:r>
      <w:bookmarkEnd w:id="492"/>
      <w:bookmarkStart w:id="493" w:name="_Toc190958914"/>
      <w:bookmarkEnd w:id="493"/>
      <w:bookmarkStart w:id="494" w:name="_Toc21416"/>
      <w:bookmarkStart w:id="495" w:name="_Toc14559"/>
      <w:bookmarkStart w:id="496" w:name="_Toc30756"/>
      <w:bookmarkStart w:id="497" w:name="_Toc12799"/>
      <w:bookmarkStart w:id="498" w:name="_Toc190958915"/>
      <w:bookmarkStart w:id="499" w:name="_Toc13680"/>
      <w:r>
        <w:rPr>
          <w:b w:val="0"/>
        </w:rPr>
        <w:t>一般</w:t>
      </w:r>
      <w:r>
        <w:rPr>
          <w:b w:val="0"/>
          <w:color w:val="auto"/>
          <w:kern w:val="2"/>
        </w:rPr>
        <w:t>规定</w:t>
      </w:r>
      <w:bookmarkEnd w:id="494"/>
      <w:bookmarkEnd w:id="495"/>
      <w:bookmarkEnd w:id="496"/>
      <w:bookmarkEnd w:id="497"/>
      <w:bookmarkEnd w:id="498"/>
      <w:bookmarkEnd w:id="499"/>
    </w:p>
    <w:p w14:paraId="61DCF845">
      <w:pPr>
        <w:tabs>
          <w:tab w:val="left" w:pos="0"/>
          <w:tab w:val="left" w:pos="397"/>
        </w:tabs>
        <w:adjustRightInd w:val="0"/>
        <w:spacing w:line="360" w:lineRule="auto"/>
        <w:ind w:firstLine="480"/>
        <w:outlineLvl w:val="2"/>
        <w:rPr>
          <w:color w:val="000000"/>
          <w:kern w:val="0"/>
        </w:rPr>
      </w:pPr>
      <w:bookmarkStart w:id="500" w:name="_Toc190958916"/>
      <w:bookmarkStart w:id="501" w:name="_Toc18084"/>
      <w:bookmarkStart w:id="502" w:name="_Toc20384"/>
      <w:bookmarkStart w:id="503" w:name="_Toc16410"/>
      <w:bookmarkStart w:id="504" w:name="_Toc9699"/>
      <w:bookmarkStart w:id="505" w:name="_Toc10236"/>
      <w:r>
        <w:rPr>
          <w:color w:val="000000"/>
          <w:kern w:val="0"/>
        </w:rPr>
        <w:t xml:space="preserve">5.1.1  </w:t>
      </w:r>
      <w:r>
        <w:rPr>
          <w:rFonts w:hint="eastAsia"/>
          <w:color w:val="000000"/>
          <w:kern w:val="0"/>
          <w:lang w:eastAsia="zh-CN"/>
        </w:rPr>
        <w:t>投标人</w:t>
      </w:r>
      <w:r>
        <w:rPr>
          <w:color w:val="000000"/>
          <w:kern w:val="0"/>
        </w:rPr>
        <w:t>的责任</w:t>
      </w:r>
      <w:bookmarkEnd w:id="500"/>
      <w:bookmarkEnd w:id="501"/>
      <w:bookmarkEnd w:id="502"/>
      <w:bookmarkEnd w:id="503"/>
      <w:bookmarkEnd w:id="504"/>
      <w:bookmarkEnd w:id="505"/>
    </w:p>
    <w:p w14:paraId="4F508C53">
      <w:pPr>
        <w:autoSpaceDE w:val="0"/>
        <w:autoSpaceDN w:val="0"/>
        <w:adjustRightInd w:val="0"/>
        <w:spacing w:line="360" w:lineRule="auto"/>
        <w:ind w:firstLine="480"/>
        <w:rPr>
          <w:color w:val="000000"/>
          <w:kern w:val="0"/>
        </w:rPr>
      </w:pPr>
      <w:r>
        <w:rPr>
          <w:color w:val="000000"/>
          <w:kern w:val="0"/>
        </w:rPr>
        <w:t>（1）</w:t>
      </w:r>
      <w:r>
        <w:rPr>
          <w:rFonts w:hint="eastAsia"/>
          <w:color w:val="000000"/>
          <w:kern w:val="0"/>
          <w:lang w:eastAsia="zh-CN"/>
        </w:rPr>
        <w:t>投标人</w:t>
      </w:r>
      <w:r>
        <w:rPr>
          <w:color w:val="000000"/>
          <w:kern w:val="0"/>
        </w:rPr>
        <w:t>应按施工图纸和招标人的指示，以及本技术条款的规定，完成本工程的全部建设内容。</w:t>
      </w:r>
    </w:p>
    <w:p w14:paraId="4762ECC1">
      <w:pPr>
        <w:autoSpaceDE w:val="0"/>
        <w:autoSpaceDN w:val="0"/>
        <w:adjustRightInd w:val="0"/>
        <w:spacing w:line="360" w:lineRule="auto"/>
        <w:ind w:firstLine="480"/>
        <w:rPr>
          <w:color w:val="000000"/>
          <w:kern w:val="0"/>
        </w:rPr>
      </w:pPr>
      <w:r>
        <w:rPr>
          <w:color w:val="000000"/>
          <w:kern w:val="0"/>
        </w:rPr>
        <w:t>（2）</w:t>
      </w:r>
      <w:r>
        <w:rPr>
          <w:rFonts w:hint="eastAsia"/>
          <w:color w:val="000000"/>
          <w:kern w:val="0"/>
          <w:lang w:eastAsia="zh-CN"/>
        </w:rPr>
        <w:t>投标人</w:t>
      </w:r>
      <w:r>
        <w:rPr>
          <w:color w:val="000000"/>
          <w:kern w:val="0"/>
        </w:rPr>
        <w:t>应负责提供满足本工程施工所需的人工、材料（甲供除外）和施工机具设备及力能配置，并负责本工程范围内的施工、试验、检验等的全部施工作业。</w:t>
      </w:r>
    </w:p>
    <w:p w14:paraId="6F0061C7">
      <w:pPr>
        <w:autoSpaceDE w:val="0"/>
        <w:autoSpaceDN w:val="0"/>
        <w:adjustRightInd w:val="0"/>
        <w:spacing w:line="360" w:lineRule="auto"/>
        <w:ind w:firstLine="480"/>
        <w:rPr>
          <w:color w:val="000000"/>
          <w:kern w:val="0"/>
        </w:rPr>
      </w:pPr>
      <w:r>
        <w:rPr>
          <w:color w:val="000000"/>
          <w:kern w:val="0"/>
        </w:rPr>
        <w:t>（3）</w:t>
      </w:r>
      <w:r>
        <w:rPr>
          <w:rFonts w:hint="eastAsia"/>
          <w:color w:val="000000"/>
          <w:kern w:val="0"/>
          <w:lang w:eastAsia="zh-CN"/>
        </w:rPr>
        <w:t>投标人</w:t>
      </w:r>
      <w:r>
        <w:rPr>
          <w:color w:val="000000"/>
          <w:kern w:val="0"/>
        </w:rPr>
        <w:t>应根据招标人提供的地形、地质资料及四通一平的施工图纸，进行四通一平工程的施工部署，配置合适的施工资源，确定四通一平施工顺序。</w:t>
      </w:r>
    </w:p>
    <w:p w14:paraId="1EA54CFF">
      <w:pPr>
        <w:autoSpaceDE w:val="0"/>
        <w:autoSpaceDN w:val="0"/>
        <w:adjustRightInd w:val="0"/>
        <w:spacing w:line="360" w:lineRule="auto"/>
        <w:ind w:firstLine="480"/>
        <w:rPr>
          <w:color w:val="000000"/>
          <w:kern w:val="0"/>
        </w:rPr>
      </w:pPr>
      <w:r>
        <w:rPr>
          <w:color w:val="000000"/>
          <w:kern w:val="0"/>
        </w:rPr>
        <w:t>（4）</w:t>
      </w:r>
      <w:r>
        <w:rPr>
          <w:rFonts w:hint="eastAsia"/>
          <w:color w:val="000000"/>
          <w:kern w:val="0"/>
          <w:lang w:eastAsia="zh-CN"/>
        </w:rPr>
        <w:t>投标人</w:t>
      </w:r>
      <w:r>
        <w:rPr>
          <w:color w:val="000000"/>
          <w:kern w:val="0"/>
        </w:rPr>
        <w:t>应在施工前对现场的地形、地质情况进行复核。</w:t>
      </w:r>
    </w:p>
    <w:p w14:paraId="43137270">
      <w:pPr>
        <w:tabs>
          <w:tab w:val="left" w:pos="0"/>
          <w:tab w:val="left" w:pos="397"/>
        </w:tabs>
        <w:adjustRightInd w:val="0"/>
        <w:spacing w:line="360" w:lineRule="auto"/>
        <w:ind w:firstLine="480"/>
        <w:outlineLvl w:val="2"/>
        <w:rPr>
          <w:color w:val="000000"/>
          <w:kern w:val="0"/>
        </w:rPr>
      </w:pPr>
      <w:bookmarkStart w:id="506" w:name="_Toc26723"/>
      <w:bookmarkStart w:id="507" w:name="_Toc26612"/>
      <w:bookmarkStart w:id="508" w:name="_Toc150"/>
      <w:bookmarkStart w:id="509" w:name="_Toc870"/>
      <w:bookmarkStart w:id="510" w:name="_Toc14006"/>
      <w:bookmarkStart w:id="511" w:name="_Toc190958917"/>
      <w:r>
        <w:rPr>
          <w:color w:val="000000"/>
          <w:kern w:val="0"/>
        </w:rPr>
        <w:t>5.1.2  主要提交文件</w:t>
      </w:r>
      <w:bookmarkEnd w:id="506"/>
      <w:bookmarkEnd w:id="507"/>
      <w:bookmarkEnd w:id="508"/>
      <w:bookmarkEnd w:id="509"/>
      <w:bookmarkEnd w:id="510"/>
      <w:bookmarkEnd w:id="511"/>
    </w:p>
    <w:p w14:paraId="2F6DB592">
      <w:pPr>
        <w:autoSpaceDE w:val="0"/>
        <w:autoSpaceDN w:val="0"/>
        <w:adjustRightInd w:val="0"/>
        <w:spacing w:line="360" w:lineRule="auto"/>
        <w:ind w:firstLine="480"/>
        <w:rPr>
          <w:color w:val="000000"/>
          <w:kern w:val="0"/>
        </w:rPr>
      </w:pPr>
      <w:r>
        <w:rPr>
          <w:color w:val="000000"/>
          <w:kern w:val="0"/>
        </w:rPr>
        <w:t>本工程范围内的各单位工程开工前，</w:t>
      </w:r>
      <w:r>
        <w:rPr>
          <w:rFonts w:hint="eastAsia"/>
          <w:color w:val="000000"/>
          <w:kern w:val="0"/>
          <w:lang w:eastAsia="zh-CN"/>
        </w:rPr>
        <w:t>投标人</w:t>
      </w:r>
      <w:r>
        <w:rPr>
          <w:color w:val="000000"/>
          <w:kern w:val="0"/>
        </w:rPr>
        <w:t xml:space="preserve">应根据本合同施工图纸、已确定的施工组织总设计，分别编制包含以下内容的专项施工方案，提交招标人批准后开工。     </w:t>
      </w:r>
    </w:p>
    <w:p w14:paraId="2DB00172">
      <w:pPr>
        <w:autoSpaceDE w:val="0"/>
        <w:autoSpaceDN w:val="0"/>
        <w:adjustRightInd w:val="0"/>
        <w:spacing w:line="360" w:lineRule="auto"/>
        <w:ind w:firstLine="480"/>
        <w:rPr>
          <w:color w:val="000000"/>
          <w:kern w:val="0"/>
        </w:rPr>
      </w:pPr>
      <w:r>
        <w:rPr>
          <w:color w:val="000000"/>
          <w:kern w:val="0"/>
        </w:rPr>
        <w:t>（1）控制点校验记录及主要轴线的定位记录；</w:t>
      </w:r>
    </w:p>
    <w:p w14:paraId="19BD277A">
      <w:pPr>
        <w:autoSpaceDE w:val="0"/>
        <w:autoSpaceDN w:val="0"/>
        <w:adjustRightInd w:val="0"/>
        <w:spacing w:line="360" w:lineRule="auto"/>
        <w:ind w:firstLine="480"/>
        <w:rPr>
          <w:color w:val="000000"/>
          <w:kern w:val="0"/>
        </w:rPr>
      </w:pPr>
      <w:r>
        <w:rPr>
          <w:color w:val="000000"/>
          <w:kern w:val="0"/>
        </w:rPr>
        <w:t>（2）施工组织机构及劳动力安排；</w:t>
      </w:r>
    </w:p>
    <w:p w14:paraId="3F150D75">
      <w:pPr>
        <w:autoSpaceDE w:val="0"/>
        <w:autoSpaceDN w:val="0"/>
        <w:adjustRightInd w:val="0"/>
        <w:spacing w:line="360" w:lineRule="auto"/>
        <w:ind w:firstLine="480"/>
        <w:rPr>
          <w:color w:val="000000"/>
          <w:kern w:val="0"/>
        </w:rPr>
      </w:pPr>
      <w:r>
        <w:rPr>
          <w:color w:val="000000"/>
          <w:kern w:val="0"/>
        </w:rPr>
        <w:t>（3）施工平面布置与临时场地设施；</w:t>
      </w:r>
    </w:p>
    <w:p w14:paraId="35812494">
      <w:pPr>
        <w:autoSpaceDE w:val="0"/>
        <w:autoSpaceDN w:val="0"/>
        <w:adjustRightInd w:val="0"/>
        <w:spacing w:line="360" w:lineRule="auto"/>
        <w:ind w:firstLine="480"/>
        <w:rPr>
          <w:color w:val="000000"/>
          <w:kern w:val="0"/>
        </w:rPr>
      </w:pPr>
      <w:r>
        <w:rPr>
          <w:color w:val="000000"/>
          <w:kern w:val="0"/>
        </w:rPr>
        <w:t>（4）施工机具配置和力能供应；</w:t>
      </w:r>
    </w:p>
    <w:p w14:paraId="34B5E5B3">
      <w:pPr>
        <w:autoSpaceDE w:val="0"/>
        <w:autoSpaceDN w:val="0"/>
        <w:adjustRightInd w:val="0"/>
        <w:spacing w:line="360" w:lineRule="auto"/>
        <w:ind w:firstLine="480"/>
        <w:rPr>
          <w:color w:val="000000"/>
          <w:kern w:val="0"/>
        </w:rPr>
      </w:pPr>
      <w:r>
        <w:rPr>
          <w:color w:val="000000"/>
          <w:kern w:val="0"/>
        </w:rPr>
        <w:t>（5）材料、半成品及机具进场与报验计划；</w:t>
      </w:r>
    </w:p>
    <w:p w14:paraId="42E7242E">
      <w:pPr>
        <w:autoSpaceDE w:val="0"/>
        <w:autoSpaceDN w:val="0"/>
        <w:adjustRightInd w:val="0"/>
        <w:spacing w:line="360" w:lineRule="auto"/>
        <w:ind w:firstLine="480"/>
        <w:rPr>
          <w:color w:val="000000"/>
          <w:kern w:val="0"/>
        </w:rPr>
      </w:pPr>
      <w:r>
        <w:rPr>
          <w:color w:val="000000"/>
          <w:kern w:val="0"/>
        </w:rPr>
        <w:t>（6）质量检验计划；</w:t>
      </w:r>
    </w:p>
    <w:p w14:paraId="412F97AA">
      <w:pPr>
        <w:autoSpaceDE w:val="0"/>
        <w:autoSpaceDN w:val="0"/>
        <w:adjustRightInd w:val="0"/>
        <w:spacing w:line="360" w:lineRule="auto"/>
        <w:ind w:firstLine="480"/>
        <w:rPr>
          <w:color w:val="000000"/>
          <w:kern w:val="0"/>
        </w:rPr>
      </w:pPr>
      <w:r>
        <w:rPr>
          <w:color w:val="000000"/>
          <w:kern w:val="0"/>
        </w:rPr>
        <w:t>（7）主要施工方案；</w:t>
      </w:r>
    </w:p>
    <w:p w14:paraId="0B387CDF">
      <w:pPr>
        <w:autoSpaceDE w:val="0"/>
        <w:autoSpaceDN w:val="0"/>
        <w:adjustRightInd w:val="0"/>
        <w:spacing w:line="360" w:lineRule="auto"/>
        <w:ind w:firstLine="480"/>
        <w:rPr>
          <w:color w:val="000000"/>
          <w:kern w:val="0"/>
        </w:rPr>
      </w:pPr>
      <w:r>
        <w:rPr>
          <w:color w:val="000000"/>
          <w:kern w:val="0"/>
        </w:rPr>
        <w:t>（8）质量控制和安全保证措施；</w:t>
      </w:r>
    </w:p>
    <w:p w14:paraId="1E4C1141">
      <w:pPr>
        <w:autoSpaceDE w:val="0"/>
        <w:autoSpaceDN w:val="0"/>
        <w:adjustRightInd w:val="0"/>
        <w:spacing w:line="360" w:lineRule="auto"/>
        <w:ind w:firstLine="480"/>
        <w:rPr>
          <w:color w:val="000000"/>
          <w:kern w:val="0"/>
        </w:rPr>
      </w:pPr>
      <w:r>
        <w:rPr>
          <w:color w:val="000000"/>
          <w:kern w:val="0"/>
        </w:rPr>
        <w:t>（9）施工进度计划；</w:t>
      </w:r>
    </w:p>
    <w:p w14:paraId="3BCD259D">
      <w:pPr>
        <w:autoSpaceDE w:val="0"/>
        <w:autoSpaceDN w:val="0"/>
        <w:adjustRightInd w:val="0"/>
        <w:spacing w:line="360" w:lineRule="auto"/>
        <w:ind w:firstLine="480"/>
      </w:pPr>
      <w:r>
        <w:rPr>
          <w:color w:val="000000"/>
          <w:kern w:val="0"/>
        </w:rPr>
        <w:t>（10）招标人要求提交的其它文件和资料</w:t>
      </w:r>
      <w:r>
        <w:t>。</w:t>
      </w:r>
    </w:p>
    <w:p w14:paraId="27E0CD16">
      <w:pPr>
        <w:tabs>
          <w:tab w:val="left" w:pos="0"/>
          <w:tab w:val="left" w:pos="397"/>
        </w:tabs>
        <w:adjustRightInd w:val="0"/>
        <w:spacing w:line="360" w:lineRule="auto"/>
        <w:ind w:firstLine="480"/>
        <w:outlineLvl w:val="2"/>
        <w:rPr>
          <w:bCs/>
        </w:rPr>
      </w:pPr>
      <w:bookmarkStart w:id="512" w:name="_Toc22884"/>
      <w:bookmarkStart w:id="513" w:name="_Toc32101"/>
      <w:bookmarkStart w:id="514" w:name="_Toc13914"/>
      <w:bookmarkStart w:id="515" w:name="_Toc28998"/>
      <w:bookmarkStart w:id="516" w:name="_Toc190958918"/>
      <w:bookmarkStart w:id="517" w:name="_Toc9407"/>
      <w:r>
        <w:rPr>
          <w:color w:val="000000"/>
          <w:kern w:val="0"/>
        </w:rPr>
        <w:t xml:space="preserve">5.1.3 </w:t>
      </w:r>
      <w:r>
        <w:rPr>
          <w:bCs/>
        </w:rPr>
        <w:t xml:space="preserve"> </w:t>
      </w:r>
      <w:r>
        <w:rPr>
          <w:color w:val="000000"/>
          <w:kern w:val="0"/>
        </w:rPr>
        <w:t>执行标准</w:t>
      </w:r>
      <w:bookmarkEnd w:id="512"/>
      <w:bookmarkEnd w:id="513"/>
      <w:bookmarkEnd w:id="514"/>
      <w:bookmarkEnd w:id="515"/>
      <w:bookmarkEnd w:id="516"/>
      <w:bookmarkEnd w:id="517"/>
    </w:p>
    <w:p w14:paraId="03AB87C5">
      <w:pPr>
        <w:numPr>
          <w:ilvl w:val="0"/>
          <w:numId w:val="15"/>
        </w:numPr>
        <w:autoSpaceDE w:val="0"/>
        <w:autoSpaceDN w:val="0"/>
        <w:adjustRightInd w:val="0"/>
        <w:spacing w:line="360" w:lineRule="auto"/>
        <w:ind w:firstLine="480"/>
        <w:rPr>
          <w:color w:val="000000"/>
          <w:kern w:val="0"/>
        </w:rPr>
      </w:pPr>
      <w:r>
        <w:rPr>
          <w:color w:val="000000"/>
          <w:kern w:val="0"/>
        </w:rPr>
        <w:t>《建筑边坡工程技术规范》（GB50026）</w:t>
      </w:r>
    </w:p>
    <w:p w14:paraId="68F632E2">
      <w:pPr>
        <w:numPr>
          <w:ilvl w:val="0"/>
          <w:numId w:val="15"/>
        </w:numPr>
        <w:autoSpaceDE w:val="0"/>
        <w:autoSpaceDN w:val="0"/>
        <w:adjustRightInd w:val="0"/>
        <w:spacing w:line="360" w:lineRule="auto"/>
        <w:ind w:firstLine="480"/>
        <w:rPr>
          <w:color w:val="000000"/>
          <w:kern w:val="0"/>
        </w:rPr>
      </w:pPr>
      <w:r>
        <w:rPr>
          <w:color w:val="000000"/>
          <w:kern w:val="0"/>
        </w:rPr>
        <w:t>《电力建设施工质量验收及评定规程第1部分：土建工程》DL/T5210.1</w:t>
      </w:r>
    </w:p>
    <w:p w14:paraId="4E9FB6BC">
      <w:pPr>
        <w:numPr>
          <w:ilvl w:val="0"/>
          <w:numId w:val="15"/>
        </w:numPr>
        <w:autoSpaceDE w:val="0"/>
        <w:autoSpaceDN w:val="0"/>
        <w:adjustRightInd w:val="0"/>
        <w:spacing w:line="360" w:lineRule="auto"/>
        <w:ind w:firstLine="480"/>
        <w:rPr>
          <w:color w:val="000000"/>
          <w:kern w:val="0"/>
        </w:rPr>
      </w:pPr>
      <w:r>
        <w:rPr>
          <w:color w:val="000000"/>
          <w:kern w:val="0"/>
        </w:rPr>
        <w:t>《建筑施工质量验收统一标准》GB50300</w:t>
      </w:r>
    </w:p>
    <w:p w14:paraId="26F8C31F">
      <w:pPr>
        <w:numPr>
          <w:ilvl w:val="0"/>
          <w:numId w:val="15"/>
        </w:numPr>
        <w:autoSpaceDE w:val="0"/>
        <w:autoSpaceDN w:val="0"/>
        <w:adjustRightInd w:val="0"/>
        <w:spacing w:line="360" w:lineRule="auto"/>
        <w:ind w:firstLine="480"/>
        <w:rPr>
          <w:color w:val="000000"/>
          <w:kern w:val="0"/>
        </w:rPr>
      </w:pPr>
      <w:r>
        <w:rPr>
          <w:color w:val="000000"/>
          <w:kern w:val="0"/>
        </w:rPr>
        <w:t>《工程建设标准强制性条文》2013年版</w:t>
      </w:r>
    </w:p>
    <w:p w14:paraId="7A627B30">
      <w:pPr>
        <w:numPr>
          <w:ilvl w:val="0"/>
          <w:numId w:val="15"/>
        </w:numPr>
        <w:autoSpaceDE w:val="0"/>
        <w:autoSpaceDN w:val="0"/>
        <w:adjustRightInd w:val="0"/>
        <w:spacing w:line="360" w:lineRule="auto"/>
        <w:ind w:firstLine="480"/>
        <w:rPr>
          <w:color w:val="000000"/>
          <w:kern w:val="0"/>
        </w:rPr>
      </w:pPr>
      <w:r>
        <w:rPr>
          <w:color w:val="000000"/>
          <w:kern w:val="0"/>
        </w:rPr>
        <w:t>《建筑地基基础工程施工质量验收规范》GB50202</w:t>
      </w:r>
    </w:p>
    <w:p w14:paraId="0F26A6DC">
      <w:pPr>
        <w:numPr>
          <w:ilvl w:val="0"/>
          <w:numId w:val="15"/>
        </w:numPr>
        <w:autoSpaceDE w:val="0"/>
        <w:autoSpaceDN w:val="0"/>
        <w:adjustRightInd w:val="0"/>
        <w:spacing w:line="360" w:lineRule="auto"/>
        <w:ind w:firstLine="480"/>
        <w:rPr>
          <w:color w:val="000000"/>
          <w:kern w:val="0"/>
        </w:rPr>
      </w:pPr>
      <w:r>
        <w:rPr>
          <w:color w:val="000000"/>
          <w:kern w:val="0"/>
        </w:rPr>
        <w:t>《混凝土强度检验评定标准》GB50107</w:t>
      </w:r>
    </w:p>
    <w:p w14:paraId="5401FEE3">
      <w:pPr>
        <w:numPr>
          <w:ilvl w:val="0"/>
          <w:numId w:val="15"/>
        </w:numPr>
        <w:autoSpaceDE w:val="0"/>
        <w:autoSpaceDN w:val="0"/>
        <w:adjustRightInd w:val="0"/>
        <w:spacing w:line="360" w:lineRule="auto"/>
        <w:ind w:firstLine="480"/>
        <w:rPr>
          <w:color w:val="000000"/>
          <w:kern w:val="0"/>
        </w:rPr>
      </w:pPr>
      <w:r>
        <w:rPr>
          <w:color w:val="000000"/>
          <w:kern w:val="0"/>
        </w:rPr>
        <w:t>《混凝土质量控制标准》GB50164</w:t>
      </w:r>
    </w:p>
    <w:p w14:paraId="7A2F931F">
      <w:pPr>
        <w:numPr>
          <w:ilvl w:val="0"/>
          <w:numId w:val="15"/>
        </w:numPr>
        <w:autoSpaceDE w:val="0"/>
        <w:autoSpaceDN w:val="0"/>
        <w:adjustRightInd w:val="0"/>
        <w:spacing w:line="360" w:lineRule="auto"/>
        <w:ind w:firstLine="480"/>
        <w:rPr>
          <w:color w:val="000000"/>
          <w:kern w:val="0"/>
        </w:rPr>
      </w:pPr>
      <w:r>
        <w:rPr>
          <w:color w:val="000000"/>
          <w:kern w:val="0"/>
        </w:rPr>
        <w:t>《普通混凝土用砂、石质量及检验方法标准》JGJ52</w:t>
      </w:r>
    </w:p>
    <w:p w14:paraId="530E0602">
      <w:pPr>
        <w:numPr>
          <w:ilvl w:val="0"/>
          <w:numId w:val="15"/>
        </w:numPr>
        <w:autoSpaceDE w:val="0"/>
        <w:autoSpaceDN w:val="0"/>
        <w:adjustRightInd w:val="0"/>
        <w:spacing w:line="360" w:lineRule="auto"/>
        <w:ind w:firstLine="480"/>
        <w:rPr>
          <w:color w:val="000000"/>
          <w:kern w:val="0"/>
        </w:rPr>
      </w:pPr>
      <w:r>
        <w:rPr>
          <w:color w:val="000000"/>
          <w:kern w:val="0"/>
        </w:rPr>
        <w:t>《钢筋焊接及验收规范》JGJ18</w:t>
      </w:r>
    </w:p>
    <w:p w14:paraId="3859E93F">
      <w:pPr>
        <w:numPr>
          <w:ilvl w:val="0"/>
          <w:numId w:val="15"/>
        </w:numPr>
        <w:autoSpaceDE w:val="0"/>
        <w:autoSpaceDN w:val="0"/>
        <w:adjustRightInd w:val="0"/>
        <w:spacing w:line="360" w:lineRule="auto"/>
        <w:ind w:firstLine="480"/>
        <w:rPr>
          <w:color w:val="000000"/>
          <w:kern w:val="0"/>
        </w:rPr>
      </w:pPr>
      <w:r>
        <w:rPr>
          <w:color w:val="000000"/>
          <w:kern w:val="0"/>
        </w:rPr>
        <w:t>《钢结构工程施工质量验收规范》GB50205</w:t>
      </w:r>
    </w:p>
    <w:p w14:paraId="0805141C">
      <w:pPr>
        <w:numPr>
          <w:ilvl w:val="0"/>
          <w:numId w:val="15"/>
        </w:numPr>
        <w:autoSpaceDE w:val="0"/>
        <w:autoSpaceDN w:val="0"/>
        <w:adjustRightInd w:val="0"/>
        <w:spacing w:line="360" w:lineRule="auto"/>
        <w:ind w:firstLine="480"/>
        <w:rPr>
          <w:color w:val="000000"/>
          <w:kern w:val="0"/>
        </w:rPr>
      </w:pPr>
      <w:r>
        <w:rPr>
          <w:color w:val="000000"/>
          <w:kern w:val="0"/>
        </w:rPr>
        <w:t>《屋面工程质量验收规范》GB50207</w:t>
      </w:r>
    </w:p>
    <w:p w14:paraId="087E39F6">
      <w:pPr>
        <w:numPr>
          <w:ilvl w:val="0"/>
          <w:numId w:val="15"/>
        </w:numPr>
        <w:autoSpaceDE w:val="0"/>
        <w:autoSpaceDN w:val="0"/>
        <w:adjustRightInd w:val="0"/>
        <w:spacing w:line="360" w:lineRule="auto"/>
        <w:ind w:firstLine="480"/>
        <w:rPr>
          <w:color w:val="000000"/>
          <w:kern w:val="0"/>
        </w:rPr>
      </w:pPr>
      <w:r>
        <w:rPr>
          <w:color w:val="000000"/>
          <w:kern w:val="0"/>
        </w:rPr>
        <w:t>《建筑防腐蚀工程施工及验收规范》GB50212</w:t>
      </w:r>
    </w:p>
    <w:p w14:paraId="773E326C">
      <w:pPr>
        <w:numPr>
          <w:ilvl w:val="0"/>
          <w:numId w:val="15"/>
        </w:numPr>
        <w:autoSpaceDE w:val="0"/>
        <w:autoSpaceDN w:val="0"/>
        <w:adjustRightInd w:val="0"/>
        <w:spacing w:line="360" w:lineRule="auto"/>
        <w:ind w:firstLine="480"/>
        <w:rPr>
          <w:color w:val="000000"/>
          <w:kern w:val="0"/>
        </w:rPr>
      </w:pPr>
      <w:r>
        <w:rPr>
          <w:color w:val="000000"/>
          <w:kern w:val="0"/>
        </w:rPr>
        <w:t>《土方与爆破工程施工及验收规范》GB 50201</w:t>
      </w:r>
    </w:p>
    <w:p w14:paraId="57F2F214">
      <w:pPr>
        <w:numPr>
          <w:ilvl w:val="0"/>
          <w:numId w:val="15"/>
        </w:numPr>
        <w:autoSpaceDE w:val="0"/>
        <w:autoSpaceDN w:val="0"/>
        <w:adjustRightInd w:val="0"/>
        <w:spacing w:line="360" w:lineRule="auto"/>
        <w:ind w:firstLine="480"/>
        <w:rPr>
          <w:color w:val="000000"/>
          <w:kern w:val="0"/>
        </w:rPr>
      </w:pPr>
      <w:r>
        <w:rPr>
          <w:color w:val="000000"/>
          <w:kern w:val="0"/>
        </w:rPr>
        <w:t>《建筑装修工程质量验收规范》GB50210</w:t>
      </w:r>
    </w:p>
    <w:p w14:paraId="7C73AFEF">
      <w:pPr>
        <w:numPr>
          <w:ilvl w:val="0"/>
          <w:numId w:val="15"/>
        </w:numPr>
        <w:autoSpaceDE w:val="0"/>
        <w:autoSpaceDN w:val="0"/>
        <w:adjustRightInd w:val="0"/>
        <w:spacing w:line="360" w:lineRule="auto"/>
        <w:ind w:firstLine="480"/>
        <w:rPr>
          <w:color w:val="000000"/>
          <w:kern w:val="0"/>
        </w:rPr>
      </w:pPr>
      <w:r>
        <w:rPr>
          <w:color w:val="000000"/>
          <w:kern w:val="0"/>
        </w:rPr>
        <w:t>《建筑地面工程施工质量验收规范》GB50209</w:t>
      </w:r>
    </w:p>
    <w:p w14:paraId="7CD78660">
      <w:pPr>
        <w:numPr>
          <w:ilvl w:val="0"/>
          <w:numId w:val="15"/>
        </w:numPr>
        <w:autoSpaceDE w:val="0"/>
        <w:autoSpaceDN w:val="0"/>
        <w:adjustRightInd w:val="0"/>
        <w:spacing w:line="360" w:lineRule="auto"/>
        <w:ind w:firstLine="480"/>
        <w:rPr>
          <w:color w:val="000000"/>
          <w:kern w:val="0"/>
        </w:rPr>
      </w:pPr>
      <w:r>
        <w:rPr>
          <w:color w:val="000000"/>
          <w:kern w:val="0"/>
        </w:rPr>
        <w:t>《建筑给水排水及采暖工程施工质量验收规范》GB50242</w:t>
      </w:r>
    </w:p>
    <w:p w14:paraId="1A8A5927">
      <w:pPr>
        <w:numPr>
          <w:ilvl w:val="0"/>
          <w:numId w:val="15"/>
        </w:numPr>
        <w:autoSpaceDE w:val="0"/>
        <w:autoSpaceDN w:val="0"/>
        <w:adjustRightInd w:val="0"/>
        <w:spacing w:line="360" w:lineRule="auto"/>
        <w:ind w:firstLine="480"/>
        <w:rPr>
          <w:color w:val="000000"/>
          <w:kern w:val="0"/>
        </w:rPr>
      </w:pPr>
      <w:r>
        <w:rPr>
          <w:color w:val="000000"/>
          <w:kern w:val="0"/>
        </w:rPr>
        <w:t>《公路工程技术标准》JTGB01</w:t>
      </w:r>
    </w:p>
    <w:p w14:paraId="45155688">
      <w:pPr>
        <w:numPr>
          <w:ilvl w:val="0"/>
          <w:numId w:val="15"/>
        </w:numPr>
        <w:autoSpaceDE w:val="0"/>
        <w:autoSpaceDN w:val="0"/>
        <w:adjustRightInd w:val="0"/>
        <w:spacing w:line="360" w:lineRule="auto"/>
        <w:ind w:firstLine="480"/>
        <w:rPr>
          <w:color w:val="000000"/>
          <w:kern w:val="0"/>
        </w:rPr>
      </w:pPr>
      <w:r>
        <w:rPr>
          <w:color w:val="000000"/>
          <w:kern w:val="0"/>
        </w:rPr>
        <w:t>《工程测量规范》GB50026</w:t>
      </w:r>
    </w:p>
    <w:p w14:paraId="3D97E04C">
      <w:pPr>
        <w:numPr>
          <w:ilvl w:val="0"/>
          <w:numId w:val="15"/>
        </w:numPr>
        <w:autoSpaceDE w:val="0"/>
        <w:autoSpaceDN w:val="0"/>
        <w:adjustRightInd w:val="0"/>
        <w:spacing w:line="360" w:lineRule="auto"/>
        <w:ind w:firstLine="480"/>
        <w:rPr>
          <w:color w:val="000000"/>
          <w:kern w:val="0"/>
        </w:rPr>
      </w:pPr>
      <w:r>
        <w:rPr>
          <w:color w:val="000000"/>
          <w:kern w:val="0"/>
        </w:rPr>
        <w:t>《电力工程施工测量技术规程》DL／T 5445</w:t>
      </w:r>
    </w:p>
    <w:p w14:paraId="183D595A">
      <w:pPr>
        <w:numPr>
          <w:ilvl w:val="0"/>
          <w:numId w:val="15"/>
        </w:numPr>
        <w:autoSpaceDE w:val="0"/>
        <w:autoSpaceDN w:val="0"/>
        <w:adjustRightInd w:val="0"/>
        <w:spacing w:line="360" w:lineRule="auto"/>
        <w:ind w:firstLine="480"/>
        <w:rPr>
          <w:color w:val="000000"/>
          <w:kern w:val="0"/>
        </w:rPr>
      </w:pPr>
      <w:r>
        <w:rPr>
          <w:color w:val="000000"/>
          <w:kern w:val="0"/>
        </w:rPr>
        <w:t>《电力工程地基处理技术规程》DL／T5024</w:t>
      </w:r>
    </w:p>
    <w:p w14:paraId="0762D58B">
      <w:pPr>
        <w:numPr>
          <w:ilvl w:val="0"/>
          <w:numId w:val="15"/>
        </w:numPr>
        <w:autoSpaceDE w:val="0"/>
        <w:autoSpaceDN w:val="0"/>
        <w:adjustRightInd w:val="0"/>
        <w:spacing w:line="360" w:lineRule="auto"/>
        <w:ind w:firstLine="480"/>
        <w:rPr>
          <w:color w:val="000000"/>
          <w:kern w:val="0"/>
        </w:rPr>
      </w:pPr>
      <w:r>
        <w:rPr>
          <w:color w:val="000000"/>
          <w:kern w:val="0"/>
        </w:rPr>
        <w:t>《建筑地基处理技术规范》JGJ 79</w:t>
      </w:r>
    </w:p>
    <w:p w14:paraId="65484ADA">
      <w:pPr>
        <w:numPr>
          <w:ilvl w:val="0"/>
          <w:numId w:val="15"/>
        </w:numPr>
        <w:autoSpaceDE w:val="0"/>
        <w:autoSpaceDN w:val="0"/>
        <w:adjustRightInd w:val="0"/>
        <w:spacing w:line="360" w:lineRule="auto"/>
        <w:ind w:firstLine="480"/>
        <w:rPr>
          <w:color w:val="000000"/>
          <w:kern w:val="0"/>
        </w:rPr>
      </w:pPr>
      <w:r>
        <w:rPr>
          <w:color w:val="000000"/>
          <w:kern w:val="0"/>
        </w:rPr>
        <w:t>《建筑施工土石方工程安全施工规范》JGJ 180</w:t>
      </w:r>
    </w:p>
    <w:p w14:paraId="2AB9276B">
      <w:pPr>
        <w:numPr>
          <w:ilvl w:val="0"/>
          <w:numId w:val="15"/>
        </w:numPr>
        <w:autoSpaceDE w:val="0"/>
        <w:autoSpaceDN w:val="0"/>
        <w:adjustRightInd w:val="0"/>
        <w:spacing w:line="360" w:lineRule="auto"/>
        <w:ind w:firstLine="480"/>
        <w:rPr>
          <w:color w:val="000000"/>
          <w:kern w:val="0"/>
        </w:rPr>
      </w:pPr>
      <w:r>
        <w:rPr>
          <w:color w:val="000000"/>
          <w:kern w:val="0"/>
        </w:rPr>
        <w:t>《建筑机械使用安全技术规程》JGJ33</w:t>
      </w:r>
    </w:p>
    <w:p w14:paraId="121CDB3A">
      <w:pPr>
        <w:numPr>
          <w:ilvl w:val="0"/>
          <w:numId w:val="15"/>
        </w:numPr>
        <w:autoSpaceDE w:val="0"/>
        <w:autoSpaceDN w:val="0"/>
        <w:adjustRightInd w:val="0"/>
        <w:spacing w:line="360" w:lineRule="auto"/>
        <w:ind w:firstLine="480"/>
        <w:rPr>
          <w:color w:val="000000"/>
          <w:kern w:val="0"/>
        </w:rPr>
      </w:pPr>
      <w:r>
        <w:rPr>
          <w:color w:val="000000"/>
          <w:kern w:val="0"/>
        </w:rPr>
        <w:t>《建筑施工安全检查标准》JGJ59</w:t>
      </w:r>
    </w:p>
    <w:p w14:paraId="59069C10">
      <w:pPr>
        <w:numPr>
          <w:ilvl w:val="0"/>
          <w:numId w:val="15"/>
        </w:numPr>
        <w:autoSpaceDE w:val="0"/>
        <w:autoSpaceDN w:val="0"/>
        <w:adjustRightInd w:val="0"/>
        <w:spacing w:line="360" w:lineRule="auto"/>
        <w:ind w:firstLine="480"/>
        <w:rPr>
          <w:color w:val="000000"/>
          <w:kern w:val="0"/>
        </w:rPr>
      </w:pPr>
      <w:r>
        <w:rPr>
          <w:color w:val="000000"/>
          <w:kern w:val="0"/>
        </w:rPr>
        <w:t>《施工现场临时用电安全技术规范》JGJ46</w:t>
      </w:r>
    </w:p>
    <w:p w14:paraId="3A138681">
      <w:pPr>
        <w:numPr>
          <w:ilvl w:val="0"/>
          <w:numId w:val="15"/>
        </w:numPr>
        <w:autoSpaceDE w:val="0"/>
        <w:autoSpaceDN w:val="0"/>
        <w:adjustRightInd w:val="0"/>
        <w:spacing w:line="360" w:lineRule="auto"/>
        <w:ind w:firstLine="480"/>
        <w:rPr>
          <w:color w:val="000000"/>
          <w:kern w:val="0"/>
        </w:rPr>
      </w:pPr>
      <w:r>
        <w:rPr>
          <w:color w:val="000000"/>
          <w:kern w:val="0"/>
        </w:rPr>
        <w:t>《室外排水设计规范》GB 50014</w:t>
      </w:r>
    </w:p>
    <w:p w14:paraId="19DDDC52">
      <w:pPr>
        <w:numPr>
          <w:ilvl w:val="0"/>
          <w:numId w:val="15"/>
        </w:numPr>
        <w:autoSpaceDE w:val="0"/>
        <w:autoSpaceDN w:val="0"/>
        <w:adjustRightInd w:val="0"/>
        <w:spacing w:line="360" w:lineRule="auto"/>
        <w:ind w:firstLine="480"/>
        <w:rPr>
          <w:color w:val="000000"/>
          <w:kern w:val="0"/>
        </w:rPr>
      </w:pPr>
      <w:r>
        <w:rPr>
          <w:color w:val="000000"/>
          <w:kern w:val="0"/>
        </w:rPr>
        <w:t xml:space="preserve">《室外给水设计规范》GB 50013-2006 </w:t>
      </w:r>
    </w:p>
    <w:p w14:paraId="1B04A511">
      <w:pPr>
        <w:numPr>
          <w:ilvl w:val="0"/>
          <w:numId w:val="15"/>
        </w:numPr>
        <w:autoSpaceDE w:val="0"/>
        <w:autoSpaceDN w:val="0"/>
        <w:adjustRightInd w:val="0"/>
        <w:spacing w:line="360" w:lineRule="auto"/>
        <w:ind w:firstLine="480"/>
        <w:rPr>
          <w:color w:val="000000"/>
          <w:kern w:val="0"/>
        </w:rPr>
      </w:pPr>
      <w:r>
        <w:rPr>
          <w:color w:val="000000"/>
          <w:kern w:val="0"/>
        </w:rPr>
        <w:t>《塑料门窗安装及验收规程》JGJ103</w:t>
      </w:r>
    </w:p>
    <w:p w14:paraId="5CFC4691">
      <w:pPr>
        <w:numPr>
          <w:ilvl w:val="0"/>
          <w:numId w:val="15"/>
        </w:numPr>
        <w:autoSpaceDE w:val="0"/>
        <w:autoSpaceDN w:val="0"/>
        <w:adjustRightInd w:val="0"/>
        <w:spacing w:line="360" w:lineRule="auto"/>
        <w:ind w:firstLine="480"/>
        <w:rPr>
          <w:color w:val="000000"/>
          <w:kern w:val="0"/>
        </w:rPr>
      </w:pPr>
      <w:r>
        <w:rPr>
          <w:color w:val="000000"/>
          <w:kern w:val="0"/>
        </w:rPr>
        <w:t>《铝合金门窗工程技术规范》JGJ214</w:t>
      </w:r>
    </w:p>
    <w:p w14:paraId="55A436C7">
      <w:pPr>
        <w:numPr>
          <w:ilvl w:val="0"/>
          <w:numId w:val="15"/>
        </w:numPr>
        <w:autoSpaceDE w:val="0"/>
        <w:autoSpaceDN w:val="0"/>
        <w:adjustRightInd w:val="0"/>
        <w:spacing w:line="360" w:lineRule="auto"/>
        <w:ind w:firstLine="480"/>
        <w:rPr>
          <w:color w:val="000000"/>
          <w:kern w:val="0"/>
        </w:rPr>
      </w:pPr>
      <w:r>
        <w:rPr>
          <w:color w:val="000000"/>
          <w:kern w:val="0"/>
        </w:rPr>
        <w:t>《给排水管道工程施工及验收规范》GB50268</w:t>
      </w:r>
    </w:p>
    <w:p w14:paraId="50AF6DCA">
      <w:pPr>
        <w:numPr>
          <w:ilvl w:val="0"/>
          <w:numId w:val="15"/>
        </w:numPr>
        <w:autoSpaceDE w:val="0"/>
        <w:autoSpaceDN w:val="0"/>
        <w:adjustRightInd w:val="0"/>
        <w:spacing w:line="360" w:lineRule="auto"/>
        <w:ind w:firstLine="480"/>
        <w:rPr>
          <w:color w:val="000000"/>
          <w:kern w:val="0"/>
        </w:rPr>
      </w:pPr>
      <w:r>
        <w:rPr>
          <w:color w:val="000000"/>
          <w:kern w:val="0"/>
        </w:rPr>
        <w:t>《给排水构筑物施工及验收规范》GBJ 141</w:t>
      </w:r>
    </w:p>
    <w:p w14:paraId="1FB83E79">
      <w:pPr>
        <w:numPr>
          <w:ilvl w:val="0"/>
          <w:numId w:val="15"/>
        </w:numPr>
        <w:autoSpaceDE w:val="0"/>
        <w:autoSpaceDN w:val="0"/>
        <w:adjustRightInd w:val="0"/>
        <w:spacing w:line="360" w:lineRule="auto"/>
        <w:ind w:firstLine="480"/>
        <w:rPr>
          <w:color w:val="000000"/>
          <w:kern w:val="0"/>
        </w:rPr>
      </w:pPr>
      <w:r>
        <w:rPr>
          <w:color w:val="000000"/>
          <w:kern w:val="0"/>
        </w:rPr>
        <w:t>《公路路基施工技术规范》JTG F10</w:t>
      </w:r>
    </w:p>
    <w:p w14:paraId="48B4AEB0">
      <w:pPr>
        <w:numPr>
          <w:ilvl w:val="0"/>
          <w:numId w:val="15"/>
        </w:numPr>
        <w:autoSpaceDE w:val="0"/>
        <w:autoSpaceDN w:val="0"/>
        <w:adjustRightInd w:val="0"/>
        <w:spacing w:line="360" w:lineRule="auto"/>
        <w:ind w:firstLine="480"/>
        <w:rPr>
          <w:color w:val="000000"/>
          <w:kern w:val="0"/>
        </w:rPr>
      </w:pPr>
      <w:r>
        <w:rPr>
          <w:color w:val="000000"/>
          <w:kern w:val="0"/>
        </w:rPr>
        <w:t>《公路路面基层施工技术规范》（JTG/T F20）</w:t>
      </w:r>
    </w:p>
    <w:p w14:paraId="7721C8BD">
      <w:pPr>
        <w:numPr>
          <w:ilvl w:val="0"/>
          <w:numId w:val="15"/>
        </w:numPr>
        <w:autoSpaceDE w:val="0"/>
        <w:autoSpaceDN w:val="0"/>
        <w:adjustRightInd w:val="0"/>
        <w:spacing w:line="360" w:lineRule="auto"/>
        <w:ind w:firstLine="480"/>
        <w:rPr>
          <w:color w:val="000000"/>
          <w:kern w:val="0"/>
        </w:rPr>
      </w:pPr>
      <w:r>
        <w:rPr>
          <w:color w:val="000000"/>
          <w:kern w:val="0"/>
        </w:rPr>
        <w:t>《公路工程水泥及水泥混凝土试验规程》（JTG E30）</w:t>
      </w:r>
    </w:p>
    <w:p w14:paraId="36B3967D">
      <w:pPr>
        <w:numPr>
          <w:ilvl w:val="0"/>
          <w:numId w:val="15"/>
        </w:numPr>
        <w:autoSpaceDE w:val="0"/>
        <w:autoSpaceDN w:val="0"/>
        <w:adjustRightInd w:val="0"/>
        <w:spacing w:line="360" w:lineRule="auto"/>
        <w:ind w:firstLine="480"/>
        <w:rPr>
          <w:color w:val="000000"/>
          <w:kern w:val="0"/>
        </w:rPr>
      </w:pPr>
      <w:r>
        <w:rPr>
          <w:color w:val="000000"/>
          <w:kern w:val="0"/>
        </w:rPr>
        <w:t>《电力建设房屋工程质量通病防治工作规定》电建质监【2004】18号</w:t>
      </w:r>
    </w:p>
    <w:p w14:paraId="0CF70D17">
      <w:pPr>
        <w:numPr>
          <w:ilvl w:val="0"/>
          <w:numId w:val="15"/>
        </w:numPr>
        <w:autoSpaceDE w:val="0"/>
        <w:autoSpaceDN w:val="0"/>
        <w:adjustRightInd w:val="0"/>
        <w:spacing w:line="360" w:lineRule="auto"/>
        <w:ind w:firstLine="480"/>
        <w:rPr>
          <w:color w:val="000000"/>
          <w:kern w:val="0"/>
        </w:rPr>
      </w:pPr>
      <w:r>
        <w:rPr>
          <w:color w:val="000000"/>
          <w:kern w:val="0"/>
        </w:rPr>
        <w:t>《</w:t>
      </w:r>
      <w:r>
        <w:rPr>
          <w:rFonts w:hint="eastAsia"/>
          <w:color w:val="000000"/>
          <w:kern w:val="0"/>
          <w:lang w:val="en-US" w:eastAsia="zh-CN"/>
        </w:rPr>
        <w:t>建筑与市政工程施工质量控制通用规范</w:t>
      </w:r>
      <w:r>
        <w:rPr>
          <w:color w:val="000000"/>
          <w:kern w:val="0"/>
        </w:rPr>
        <w:t>》（GB</w:t>
      </w:r>
      <w:r>
        <w:rPr>
          <w:rFonts w:hint="eastAsia"/>
          <w:color w:val="000000"/>
          <w:kern w:val="0"/>
          <w:lang w:val="en-US" w:eastAsia="zh-CN"/>
        </w:rPr>
        <w:t>55032</w:t>
      </w:r>
      <w:r>
        <w:rPr>
          <w:color w:val="000000"/>
          <w:kern w:val="0"/>
        </w:rPr>
        <w:t>）</w:t>
      </w:r>
    </w:p>
    <w:p w14:paraId="59B7811A">
      <w:pPr>
        <w:autoSpaceDE w:val="0"/>
        <w:autoSpaceDN w:val="0"/>
        <w:adjustRightInd w:val="0"/>
        <w:spacing w:line="360" w:lineRule="auto"/>
        <w:ind w:firstLine="480"/>
        <w:rPr>
          <w:color w:val="000000"/>
          <w:kern w:val="0"/>
        </w:rPr>
      </w:pPr>
      <w:r>
        <w:rPr>
          <w:color w:val="000000"/>
          <w:kern w:val="0"/>
        </w:rPr>
        <w:t>施工采用的国家建筑标准设计图集见各卷册说明，严格执行工程建设标准强制性条文（电力工程部分）及相应的安全措施。以上条目若有新的版本，则执行新版本。以上条目的标准不一致时，则执行高标准。以上条目未涵盖的部分，由招标人和监理人协商确定参照国内和国际相关标准。</w:t>
      </w:r>
    </w:p>
    <w:p w14:paraId="0DF843DA">
      <w:pPr>
        <w:autoSpaceDE w:val="0"/>
        <w:autoSpaceDN w:val="0"/>
        <w:adjustRightInd w:val="0"/>
        <w:spacing w:line="360" w:lineRule="auto"/>
        <w:ind w:firstLine="480"/>
        <w:rPr>
          <w:color w:val="000000"/>
          <w:kern w:val="0"/>
        </w:rPr>
      </w:pPr>
      <w:r>
        <w:rPr>
          <w:color w:val="000000"/>
          <w:kern w:val="0"/>
        </w:rPr>
        <w:t>严格执行最新版国家、有关部门颁布的与本工程有关的法律、法规、技术规范、规程、设计院和制造厂技术文件上的质量标准和要求。</w:t>
      </w:r>
    </w:p>
    <w:p w14:paraId="25FABAC3">
      <w:pPr>
        <w:autoSpaceDE w:val="0"/>
        <w:autoSpaceDN w:val="0"/>
        <w:adjustRightInd w:val="0"/>
        <w:spacing w:line="360" w:lineRule="auto"/>
        <w:ind w:firstLine="480"/>
        <w:rPr>
          <w:color w:val="000000"/>
          <w:kern w:val="0"/>
        </w:rPr>
      </w:pPr>
      <w:r>
        <w:rPr>
          <w:color w:val="000000"/>
          <w:kern w:val="0"/>
        </w:rPr>
        <w:t>包括但不仅限于上述标准内容，</w:t>
      </w:r>
      <w:r>
        <w:rPr>
          <w:rFonts w:hint="eastAsia"/>
          <w:color w:val="000000"/>
          <w:kern w:val="0"/>
          <w:lang w:eastAsia="zh-CN"/>
        </w:rPr>
        <w:t>投标人</w:t>
      </w:r>
      <w:r>
        <w:rPr>
          <w:color w:val="000000"/>
          <w:kern w:val="0"/>
        </w:rPr>
        <w:t>需自行根据国家最新颁布实施的有关标准进行更新。</w:t>
      </w:r>
    </w:p>
    <w:p w14:paraId="1042EC89">
      <w:pPr>
        <w:numPr>
          <w:ilvl w:val="1"/>
          <w:numId w:val="14"/>
        </w:numPr>
        <w:adjustRightInd w:val="0"/>
        <w:spacing w:line="360" w:lineRule="auto"/>
        <w:ind w:left="0" w:firstLine="480"/>
        <w:outlineLvl w:val="1"/>
      </w:pPr>
      <w:bookmarkStart w:id="518" w:name="_Toc493237666"/>
      <w:r>
        <w:t xml:space="preserve">  </w:t>
      </w:r>
      <w:bookmarkStart w:id="519" w:name="_Toc8922"/>
      <w:bookmarkStart w:id="520" w:name="_Toc26061"/>
      <w:bookmarkStart w:id="521" w:name="_Toc9531"/>
      <w:bookmarkStart w:id="522" w:name="_Toc27235"/>
      <w:bookmarkStart w:id="523" w:name="_Toc190958919"/>
      <w:bookmarkStart w:id="524" w:name="_Toc11877"/>
      <w:r>
        <w:t>工作内容与技术要求</w:t>
      </w:r>
      <w:bookmarkEnd w:id="518"/>
      <w:bookmarkEnd w:id="519"/>
      <w:bookmarkEnd w:id="520"/>
      <w:bookmarkEnd w:id="521"/>
      <w:bookmarkEnd w:id="522"/>
      <w:bookmarkEnd w:id="523"/>
      <w:bookmarkEnd w:id="524"/>
    </w:p>
    <w:p w14:paraId="6189F2AE">
      <w:pPr>
        <w:autoSpaceDE w:val="0"/>
        <w:autoSpaceDN w:val="0"/>
        <w:adjustRightInd w:val="0"/>
        <w:spacing w:line="360" w:lineRule="auto"/>
        <w:ind w:firstLine="480"/>
        <w:rPr>
          <w:color w:val="000000"/>
          <w:kern w:val="0"/>
        </w:rPr>
      </w:pPr>
      <w:r>
        <w:rPr>
          <w:color w:val="000000"/>
          <w:kern w:val="0"/>
        </w:rPr>
        <w:t>本工程为舟山市普陀2#海上风电场项目</w:t>
      </w:r>
      <w:r>
        <w:rPr>
          <w:rFonts w:hint="eastAsia"/>
          <w:color w:val="000000"/>
          <w:kern w:val="0"/>
          <w:lang w:val="en-US" w:eastAsia="zh-CN"/>
        </w:rPr>
        <w:t>陆上集控中心</w:t>
      </w:r>
      <w:r>
        <w:rPr>
          <w:color w:val="000000"/>
          <w:kern w:val="0"/>
        </w:rPr>
        <w:t>四通一平项目，包括：现有建构筑物、设施的拆除和迁建、场地平整、施工道路、施工供电、施工供水</w:t>
      </w:r>
      <w:r>
        <w:rPr>
          <w:rFonts w:hint="eastAsia"/>
          <w:color w:val="000000"/>
          <w:kern w:val="0"/>
          <w:lang w:eastAsia="zh-CN"/>
        </w:rPr>
        <w:t>、</w:t>
      </w:r>
      <w:r>
        <w:rPr>
          <w:rFonts w:hint="eastAsia"/>
          <w:color w:val="000000"/>
          <w:kern w:val="0"/>
          <w:lang w:val="en-US" w:eastAsia="zh-CN"/>
        </w:rPr>
        <w:t>增加施工围挡及临时大门</w:t>
      </w:r>
      <w:r>
        <w:rPr>
          <w:color w:val="000000"/>
          <w:kern w:val="0"/>
        </w:rPr>
        <w:t>等内容。本次工作主要内容为将现状为鱼塘的场地平整至高程0.0m、高程1.6m（定向钻施工区），两块大虾塘之间的塘埂开挖至高程-0.2m，现有塘埂上的节制闸封闭措施，完成供水、供电</w:t>
      </w:r>
      <w:r>
        <w:rPr>
          <w:rFonts w:hint="eastAsia"/>
          <w:color w:val="000000"/>
          <w:kern w:val="0"/>
          <w:lang w:eastAsia="zh-CN"/>
        </w:rPr>
        <w:t>、</w:t>
      </w:r>
      <w:r>
        <w:rPr>
          <w:rFonts w:hint="eastAsia"/>
          <w:color w:val="000000"/>
          <w:kern w:val="0"/>
          <w:lang w:val="en-US" w:eastAsia="zh-CN"/>
        </w:rPr>
        <w:t>设施安装</w:t>
      </w:r>
      <w:r>
        <w:rPr>
          <w:color w:val="000000"/>
          <w:kern w:val="0"/>
        </w:rPr>
        <w:t>，使其满足后续主体工程施工条件。</w:t>
      </w:r>
    </w:p>
    <w:p w14:paraId="0612D709">
      <w:pPr>
        <w:autoSpaceDE w:val="0"/>
        <w:autoSpaceDN w:val="0"/>
        <w:adjustRightInd w:val="0"/>
        <w:spacing w:line="360" w:lineRule="auto"/>
        <w:ind w:firstLine="480"/>
        <w:rPr>
          <w:color w:val="000000"/>
          <w:kern w:val="0"/>
        </w:rPr>
      </w:pPr>
      <w:r>
        <w:rPr>
          <w:color w:val="000000"/>
          <w:kern w:val="0"/>
        </w:rPr>
        <w:t>四通一平施工期间的施工用水、施工用电、</w:t>
      </w:r>
      <w:r>
        <w:rPr>
          <w:rFonts w:hint="eastAsia"/>
          <w:color w:val="000000"/>
          <w:kern w:val="0"/>
          <w:lang w:val="en-US" w:eastAsia="zh-CN"/>
        </w:rPr>
        <w:t>施工便道、</w:t>
      </w:r>
      <w:r>
        <w:rPr>
          <w:color w:val="000000"/>
          <w:kern w:val="0"/>
        </w:rPr>
        <w:t>场地排水、防汛防台等工作由投标人自行解决，所需费用包含在投标人报价中。</w:t>
      </w:r>
    </w:p>
    <w:p w14:paraId="6C01D202">
      <w:pPr>
        <w:numPr>
          <w:ilvl w:val="2"/>
          <w:numId w:val="16"/>
        </w:numPr>
        <w:adjustRightInd w:val="0"/>
        <w:spacing w:line="360" w:lineRule="auto"/>
        <w:ind w:left="0" w:firstLine="480"/>
        <w:outlineLvl w:val="2"/>
        <w:rPr>
          <w:color w:val="000000"/>
          <w:kern w:val="0"/>
        </w:rPr>
      </w:pPr>
      <w:bookmarkStart w:id="525" w:name="_Toc29958"/>
      <w:bookmarkStart w:id="526" w:name="_Toc190958920"/>
      <w:bookmarkStart w:id="527" w:name="_Toc31088"/>
      <w:bookmarkStart w:id="528" w:name="_Toc13037"/>
      <w:bookmarkStart w:id="529" w:name="_Toc28526"/>
      <w:bookmarkStart w:id="530" w:name="_Toc21351"/>
      <w:r>
        <w:rPr>
          <w:color w:val="000000"/>
          <w:kern w:val="0"/>
        </w:rPr>
        <w:t>一般要求</w:t>
      </w:r>
      <w:bookmarkEnd w:id="525"/>
      <w:bookmarkEnd w:id="526"/>
      <w:bookmarkEnd w:id="527"/>
      <w:bookmarkEnd w:id="528"/>
      <w:bookmarkEnd w:id="529"/>
      <w:bookmarkEnd w:id="530"/>
    </w:p>
    <w:p w14:paraId="6692A20D">
      <w:pPr>
        <w:autoSpaceDE w:val="0"/>
        <w:autoSpaceDN w:val="0"/>
        <w:adjustRightInd w:val="0"/>
        <w:spacing w:line="360" w:lineRule="auto"/>
        <w:ind w:firstLine="480"/>
        <w:rPr>
          <w:color w:val="000000"/>
          <w:kern w:val="0"/>
        </w:rPr>
      </w:pPr>
      <w:r>
        <w:rPr>
          <w:color w:val="000000"/>
          <w:kern w:val="0"/>
        </w:rPr>
        <w:t>（1）</w:t>
      </w:r>
      <w:r>
        <w:rPr>
          <w:rFonts w:hint="eastAsia"/>
          <w:color w:val="000000"/>
          <w:kern w:val="0"/>
          <w:lang w:eastAsia="zh-CN"/>
        </w:rPr>
        <w:t>投标人</w:t>
      </w:r>
      <w:r>
        <w:rPr>
          <w:color w:val="000000"/>
          <w:kern w:val="0"/>
        </w:rPr>
        <w:t>组织施工时应严格执行现行国家、行业颁布的相关规范、标准，以及招标人指示的相关要求等。</w:t>
      </w:r>
    </w:p>
    <w:p w14:paraId="3EE1EA9E">
      <w:pPr>
        <w:autoSpaceDE w:val="0"/>
        <w:autoSpaceDN w:val="0"/>
        <w:adjustRightInd w:val="0"/>
        <w:spacing w:line="360" w:lineRule="auto"/>
        <w:ind w:firstLine="480"/>
        <w:rPr>
          <w:color w:val="000000"/>
          <w:kern w:val="0"/>
        </w:rPr>
      </w:pPr>
      <w:r>
        <w:rPr>
          <w:color w:val="000000"/>
          <w:kern w:val="0"/>
        </w:rPr>
        <w:t>（2）</w:t>
      </w:r>
      <w:r>
        <w:rPr>
          <w:rFonts w:hint="eastAsia"/>
          <w:color w:val="000000"/>
          <w:kern w:val="0"/>
          <w:lang w:eastAsia="zh-CN"/>
        </w:rPr>
        <w:t>投标人</w:t>
      </w:r>
      <w:r>
        <w:rPr>
          <w:color w:val="000000"/>
          <w:kern w:val="0"/>
        </w:rPr>
        <w:t>应根据招标人提供的场地条件自行选择并考虑力能机械的布置及投入，且需能满足招标人的安全、工期、质量要求。</w:t>
      </w:r>
    </w:p>
    <w:p w14:paraId="253C5121">
      <w:pPr>
        <w:autoSpaceDE w:val="0"/>
        <w:autoSpaceDN w:val="0"/>
        <w:adjustRightInd w:val="0"/>
        <w:spacing w:line="360" w:lineRule="auto"/>
        <w:ind w:firstLine="480"/>
        <w:rPr>
          <w:color w:val="000000"/>
          <w:kern w:val="0"/>
        </w:rPr>
      </w:pPr>
      <w:r>
        <w:rPr>
          <w:color w:val="000000"/>
          <w:kern w:val="0"/>
        </w:rPr>
        <w:t>（3）</w:t>
      </w:r>
      <w:r>
        <w:rPr>
          <w:rFonts w:hint="eastAsia"/>
          <w:color w:val="000000"/>
          <w:kern w:val="0"/>
          <w:lang w:eastAsia="zh-CN"/>
        </w:rPr>
        <w:t>投标人</w:t>
      </w:r>
      <w:r>
        <w:rPr>
          <w:color w:val="000000"/>
          <w:kern w:val="0"/>
        </w:rPr>
        <w:t>应在施工前详细了解工程的地形、地貌及周边构建筑物情况，并应结合招标人提供的地下管</w:t>
      </w:r>
      <w:bookmarkStart w:id="585" w:name="_GoBack"/>
      <w:bookmarkEnd w:id="585"/>
      <w:r>
        <w:rPr>
          <w:color w:val="000000"/>
          <w:kern w:val="0"/>
        </w:rPr>
        <w:t>线资料，对地下管线进行复查，施工期间应采取必要的监测、安全保护措施。</w:t>
      </w:r>
    </w:p>
    <w:p w14:paraId="6BF8254C">
      <w:pPr>
        <w:autoSpaceDE w:val="0"/>
        <w:autoSpaceDN w:val="0"/>
        <w:adjustRightInd w:val="0"/>
        <w:spacing w:line="360" w:lineRule="auto"/>
        <w:ind w:firstLine="480"/>
        <w:rPr>
          <w:color w:val="000000"/>
          <w:kern w:val="0"/>
        </w:rPr>
      </w:pPr>
      <w:r>
        <w:rPr>
          <w:color w:val="000000"/>
          <w:kern w:val="0"/>
        </w:rPr>
        <w:t>（4）要求合理安排施工时间，不得影响周边鱼塘养殖与道路通行。</w:t>
      </w:r>
    </w:p>
    <w:p w14:paraId="17769260">
      <w:pPr>
        <w:autoSpaceDE w:val="0"/>
        <w:autoSpaceDN w:val="0"/>
        <w:adjustRightInd w:val="0"/>
        <w:spacing w:line="360" w:lineRule="auto"/>
        <w:ind w:firstLine="480"/>
        <w:rPr>
          <w:color w:val="000000"/>
          <w:kern w:val="0"/>
        </w:rPr>
      </w:pPr>
      <w:r>
        <w:rPr>
          <w:color w:val="000000"/>
          <w:kern w:val="0"/>
        </w:rPr>
        <w:t>（5）所有建、构筑物施工前需做好定位放样工作，定位基准以招标人提供的基准点为准。</w:t>
      </w:r>
    </w:p>
    <w:p w14:paraId="5E5C049B">
      <w:pPr>
        <w:numPr>
          <w:ilvl w:val="2"/>
          <w:numId w:val="16"/>
        </w:numPr>
        <w:adjustRightInd w:val="0"/>
        <w:spacing w:line="360" w:lineRule="auto"/>
        <w:ind w:left="0" w:firstLine="482"/>
        <w:outlineLvl w:val="2"/>
        <w:rPr>
          <w:color w:val="000000"/>
          <w:kern w:val="0"/>
        </w:rPr>
      </w:pPr>
      <w:bookmarkStart w:id="531" w:name="_Toc16695"/>
      <w:bookmarkStart w:id="532" w:name="_Toc1427"/>
      <w:bookmarkStart w:id="533" w:name="_Toc7837"/>
      <w:bookmarkStart w:id="534" w:name="_Toc190958921"/>
      <w:bookmarkStart w:id="535" w:name="_Toc292"/>
      <w:bookmarkStart w:id="536" w:name="_Toc27068"/>
      <w:r>
        <w:rPr>
          <w:b/>
          <w:bCs/>
          <w:color w:val="000000"/>
          <w:kern w:val="0"/>
        </w:rPr>
        <w:t>建构筑物拆除与迁改</w:t>
      </w:r>
      <w:bookmarkEnd w:id="531"/>
      <w:bookmarkEnd w:id="532"/>
      <w:bookmarkEnd w:id="533"/>
      <w:bookmarkEnd w:id="534"/>
      <w:bookmarkEnd w:id="535"/>
      <w:bookmarkEnd w:id="536"/>
    </w:p>
    <w:p w14:paraId="64D4E91E">
      <w:pPr>
        <w:autoSpaceDE w:val="0"/>
        <w:autoSpaceDN w:val="0"/>
        <w:adjustRightInd w:val="0"/>
        <w:spacing w:line="360" w:lineRule="auto"/>
        <w:ind w:firstLine="480"/>
        <w:rPr>
          <w:color w:val="000000"/>
          <w:kern w:val="0"/>
        </w:rPr>
      </w:pPr>
      <w:r>
        <w:rPr>
          <w:color w:val="000000"/>
          <w:kern w:val="0"/>
        </w:rPr>
        <w:t>（1）拆除站区2处鱼塘管理用房。</w:t>
      </w:r>
    </w:p>
    <w:p w14:paraId="5F2137B7">
      <w:pPr>
        <w:autoSpaceDE w:val="0"/>
        <w:autoSpaceDN w:val="0"/>
        <w:adjustRightInd w:val="0"/>
        <w:spacing w:line="360" w:lineRule="auto"/>
        <w:ind w:firstLine="480"/>
        <w:rPr>
          <w:color w:val="000000"/>
          <w:kern w:val="0"/>
        </w:rPr>
      </w:pPr>
      <w:r>
        <w:rPr>
          <w:color w:val="000000"/>
          <w:kern w:val="0"/>
        </w:rPr>
        <w:t>（2）拆除站区4根电线杆及线路。</w:t>
      </w:r>
    </w:p>
    <w:p w14:paraId="6F4335B3">
      <w:pPr>
        <w:numPr>
          <w:ilvl w:val="2"/>
          <w:numId w:val="16"/>
        </w:numPr>
        <w:adjustRightInd w:val="0"/>
        <w:spacing w:line="360" w:lineRule="auto"/>
        <w:ind w:left="0" w:firstLine="482"/>
        <w:outlineLvl w:val="2"/>
        <w:rPr>
          <w:color w:val="000000"/>
          <w:kern w:val="0"/>
        </w:rPr>
      </w:pPr>
      <w:bookmarkStart w:id="537" w:name="_Toc26590"/>
      <w:bookmarkStart w:id="538" w:name="_Toc21897"/>
      <w:bookmarkStart w:id="539" w:name="_Toc4038"/>
      <w:bookmarkStart w:id="540" w:name="_Toc10779"/>
      <w:bookmarkStart w:id="541" w:name="_Toc190958922"/>
      <w:bookmarkStart w:id="542" w:name="_Toc28633"/>
      <w:r>
        <w:rPr>
          <w:b/>
          <w:bCs/>
          <w:color w:val="000000"/>
          <w:kern w:val="0"/>
        </w:rPr>
        <w:t>场地平整</w:t>
      </w:r>
      <w:bookmarkEnd w:id="537"/>
      <w:bookmarkEnd w:id="538"/>
      <w:bookmarkEnd w:id="539"/>
      <w:bookmarkEnd w:id="540"/>
      <w:bookmarkEnd w:id="541"/>
      <w:bookmarkEnd w:id="542"/>
    </w:p>
    <w:p w14:paraId="78B42B8A">
      <w:pPr>
        <w:adjustRightInd w:val="0"/>
        <w:spacing w:line="360" w:lineRule="auto"/>
        <w:ind w:firstLine="480"/>
      </w:pPr>
      <w:r>
        <w:t>（1）陆上集控中心站区场地排水、清表。</w:t>
      </w:r>
    </w:p>
    <w:p w14:paraId="4C9446FB">
      <w:pPr>
        <w:adjustRightInd w:val="0"/>
        <w:spacing w:line="360" w:lineRule="auto"/>
        <w:ind w:firstLine="480"/>
      </w:pPr>
      <w:r>
        <w:t>（2）陆上集控中心站区场地排水后，对站区周边场地按目前自然标高进行场地平整和清理，对表面绿植、杂物、未拆除彻底的混凝土地坪、构筑物遗留等进行统一破碎、整理外运，垃圾外运社会化处理，现场具体由</w:t>
      </w:r>
      <w:r>
        <w:rPr>
          <w:rFonts w:hint="eastAsia"/>
          <w:lang w:eastAsia="zh-CN"/>
        </w:rPr>
        <w:t>投标人</w:t>
      </w:r>
      <w:r>
        <w:t>现场踏勘掌握。</w:t>
      </w:r>
    </w:p>
    <w:p w14:paraId="7F64AFC9">
      <w:pPr>
        <w:adjustRightInd w:val="0"/>
        <w:spacing w:line="360" w:lineRule="auto"/>
        <w:ind w:firstLine="480"/>
      </w:pPr>
      <w:r>
        <w:t>（3）陆上集控中心站区场地平整：站区按照1985国家高程0.00m和1.60m（具体见总平图）进行回填，招标人根据实际回填进度，安排</w:t>
      </w:r>
      <w:r>
        <w:rPr>
          <w:rFonts w:hint="eastAsia"/>
          <w:lang w:eastAsia="zh-CN"/>
        </w:rPr>
        <w:t>投标人</w:t>
      </w:r>
      <w:r>
        <w:t>进行现场场地的平整和碾压。</w:t>
      </w:r>
      <w:r>
        <w:rPr>
          <w:rFonts w:hint="default" w:ascii="Times New Roman" w:hAnsi="Times New Roman" w:eastAsia="宋体" w:cs="Times New Roman"/>
          <w:color w:val="auto"/>
          <w:kern w:val="2"/>
          <w:sz w:val="24"/>
          <w:szCs w:val="24"/>
        </w:rPr>
        <w:t>场地四周设置环</w:t>
      </w:r>
      <w:r>
        <w:rPr>
          <w:rFonts w:hint="eastAsia" w:cs="Times New Roman"/>
          <w:kern w:val="2"/>
          <w:sz w:val="24"/>
          <w:szCs w:val="24"/>
          <w:lang w:val="en-US" w:eastAsia="zh-CN"/>
        </w:rPr>
        <w:t>状</w:t>
      </w:r>
      <w:r>
        <w:rPr>
          <w:rFonts w:hint="default" w:ascii="Times New Roman" w:hAnsi="Times New Roman" w:eastAsia="宋体" w:cs="Times New Roman"/>
          <w:color w:val="auto"/>
          <w:kern w:val="2"/>
          <w:sz w:val="24"/>
          <w:szCs w:val="24"/>
        </w:rPr>
        <w:t>排水沟及渗漏积水井等排水设施，确保场地不积水</w:t>
      </w:r>
      <w:r>
        <w:rPr>
          <w:rFonts w:hint="eastAsia" w:cs="Times New Roman"/>
          <w:kern w:val="2"/>
          <w:sz w:val="24"/>
          <w:szCs w:val="24"/>
          <w:lang w:eastAsia="zh-CN"/>
        </w:rPr>
        <w:t>。</w:t>
      </w:r>
      <w:r>
        <w:t>回填塘渣工程量按</w:t>
      </w:r>
      <w:r>
        <w:rPr>
          <w:rFonts w:hint="eastAsia"/>
          <w:lang w:val="en-US" w:eastAsia="zh-CN"/>
        </w:rPr>
        <w:t>清表后的场地</w:t>
      </w:r>
      <w:r>
        <w:t>底标高至回填后标高进行计算，回填产生的沉降，</w:t>
      </w:r>
      <w:r>
        <w:rPr>
          <w:rFonts w:hint="eastAsia"/>
          <w:lang w:eastAsia="zh-CN"/>
        </w:rPr>
        <w:t>投标人</w:t>
      </w:r>
      <w:r>
        <w:t>应在投标单价中予以考虑。</w:t>
      </w:r>
    </w:p>
    <w:p w14:paraId="0DF30A35">
      <w:pPr>
        <w:adjustRightInd w:val="0"/>
        <w:spacing w:line="360" w:lineRule="auto"/>
        <w:ind w:firstLine="480"/>
      </w:pPr>
      <w:r>
        <w:t>（4）对于回填土方压实系数不应小于0.90。</w:t>
      </w:r>
    </w:p>
    <w:p w14:paraId="5B6FF0BA">
      <w:pPr>
        <w:autoSpaceDE w:val="0"/>
        <w:autoSpaceDN w:val="0"/>
        <w:adjustRightInd w:val="0"/>
        <w:spacing w:line="360" w:lineRule="auto"/>
        <w:ind w:firstLine="480"/>
        <w:rPr>
          <w:color w:val="000000"/>
          <w:kern w:val="0"/>
        </w:rPr>
      </w:pPr>
      <w:r>
        <w:t>（5）场地回填料：采用塘渣，最大粒径一般不超过20cm，含泥量（粒径小于0.075mm的颗粒）不超过5%-10%。</w:t>
      </w:r>
    </w:p>
    <w:p w14:paraId="58A0B31C">
      <w:pPr>
        <w:numPr>
          <w:ilvl w:val="2"/>
          <w:numId w:val="16"/>
        </w:numPr>
        <w:adjustRightInd w:val="0"/>
        <w:spacing w:line="360" w:lineRule="auto"/>
        <w:ind w:left="0" w:firstLine="482"/>
        <w:outlineLvl w:val="2"/>
        <w:rPr>
          <w:b/>
          <w:color w:val="000000"/>
          <w:kern w:val="0"/>
        </w:rPr>
      </w:pPr>
      <w:bookmarkStart w:id="543" w:name="_Toc6782"/>
      <w:bookmarkStart w:id="544" w:name="_Toc10571"/>
      <w:bookmarkStart w:id="545" w:name="_Toc5465"/>
      <w:bookmarkStart w:id="546" w:name="_Toc190958923"/>
      <w:bookmarkStart w:id="547" w:name="_Toc11499"/>
      <w:bookmarkStart w:id="548" w:name="_Toc20453"/>
      <w:r>
        <w:rPr>
          <w:b/>
          <w:color w:val="000000"/>
          <w:kern w:val="0"/>
        </w:rPr>
        <w:t>施工道路</w:t>
      </w:r>
      <w:bookmarkEnd w:id="543"/>
      <w:bookmarkEnd w:id="544"/>
      <w:bookmarkEnd w:id="545"/>
      <w:bookmarkEnd w:id="546"/>
      <w:bookmarkEnd w:id="547"/>
      <w:bookmarkEnd w:id="548"/>
    </w:p>
    <w:p w14:paraId="5B0BB43A">
      <w:pPr>
        <w:autoSpaceDE w:val="0"/>
        <w:autoSpaceDN w:val="0"/>
        <w:adjustRightInd w:val="0"/>
        <w:spacing w:line="360" w:lineRule="auto"/>
        <w:ind w:firstLine="480"/>
        <w:rPr>
          <w:color w:val="000000"/>
          <w:kern w:val="0"/>
        </w:rPr>
      </w:pPr>
      <w:r>
        <w:rPr>
          <w:rFonts w:hint="eastAsia"/>
          <w:color w:val="000000"/>
          <w:kern w:val="0"/>
          <w:lang w:eastAsia="zh-CN"/>
        </w:rPr>
        <w:t>投标人</w:t>
      </w:r>
      <w:r>
        <w:rPr>
          <w:color w:val="000000"/>
          <w:kern w:val="0"/>
        </w:rPr>
        <w:t>须完成的道路包括：从站区北侧跨越既有河道进入站区的道路，以及入口处至定向钻施工区道路，具体详见附图（进口处跨越河道道路需要延长原有涵管约20m）。</w:t>
      </w:r>
    </w:p>
    <w:p w14:paraId="13F72102">
      <w:pPr>
        <w:autoSpaceDE w:val="0"/>
        <w:autoSpaceDN w:val="0"/>
        <w:adjustRightInd w:val="0"/>
        <w:spacing w:line="360" w:lineRule="auto"/>
        <w:ind w:firstLine="480"/>
        <w:rPr>
          <w:color w:val="000000"/>
          <w:kern w:val="0"/>
        </w:rPr>
      </w:pPr>
      <w:r>
        <w:rPr>
          <w:color w:val="000000"/>
          <w:kern w:val="0"/>
        </w:rPr>
        <w:t>（1）采用块石</w:t>
      </w:r>
      <w:r>
        <w:rPr>
          <w:rFonts w:hint="eastAsia"/>
          <w:color w:val="000000"/>
          <w:kern w:val="0"/>
          <w:lang w:val="en-US" w:eastAsia="zh-CN"/>
        </w:rPr>
        <w:t>回填</w:t>
      </w:r>
      <w:r>
        <w:rPr>
          <w:color w:val="000000"/>
          <w:kern w:val="0"/>
        </w:rPr>
        <w:t>、水泥稳定料路基。土基压实度不小于95%。</w:t>
      </w:r>
    </w:p>
    <w:p w14:paraId="7446F99F">
      <w:pPr>
        <w:autoSpaceDE w:val="0"/>
        <w:autoSpaceDN w:val="0"/>
        <w:adjustRightInd w:val="0"/>
        <w:spacing w:line="360" w:lineRule="auto"/>
        <w:ind w:firstLine="480"/>
        <w:rPr>
          <w:color w:val="000000"/>
          <w:kern w:val="0"/>
        </w:rPr>
      </w:pPr>
      <w:r>
        <w:rPr>
          <w:color w:val="000000"/>
          <w:kern w:val="0"/>
        </w:rPr>
        <w:t>（2）路基</w:t>
      </w:r>
      <w:r>
        <w:rPr>
          <w:rFonts w:hint="eastAsia"/>
          <w:color w:val="000000"/>
          <w:kern w:val="0"/>
          <w:lang w:val="en-US" w:eastAsia="zh-CN"/>
        </w:rPr>
        <w:t>回填</w:t>
      </w:r>
      <w:r>
        <w:rPr>
          <w:color w:val="000000"/>
          <w:kern w:val="0"/>
        </w:rPr>
        <w:t>材料，采用块石或塘渣</w:t>
      </w:r>
      <w:r>
        <w:rPr>
          <w:rFonts w:hint="eastAsia"/>
          <w:color w:val="000000"/>
          <w:kern w:val="0"/>
          <w:lang w:val="en-US" w:eastAsia="zh-CN"/>
        </w:rPr>
        <w:t>回填</w:t>
      </w:r>
      <w:r>
        <w:rPr>
          <w:color w:val="000000"/>
          <w:kern w:val="0"/>
        </w:rPr>
        <w:t>路基，碾压密实无明显沉降后，顶部铺筑20cm碎石垫层。</w:t>
      </w:r>
    </w:p>
    <w:p w14:paraId="65E23460">
      <w:pPr>
        <w:autoSpaceDE w:val="0"/>
        <w:autoSpaceDN w:val="0"/>
        <w:adjustRightInd w:val="0"/>
        <w:spacing w:line="360" w:lineRule="auto"/>
        <w:ind w:firstLine="480"/>
        <w:rPr>
          <w:color w:val="000000"/>
          <w:kern w:val="0"/>
        </w:rPr>
      </w:pPr>
      <w:r>
        <w:rPr>
          <w:color w:val="000000"/>
          <w:kern w:val="0"/>
        </w:rPr>
        <w:t>（3）道路</w:t>
      </w:r>
      <w:r>
        <w:rPr>
          <w:rFonts w:hint="eastAsia"/>
          <w:color w:val="000000"/>
          <w:kern w:val="0"/>
          <w:lang w:val="en-US" w:eastAsia="zh-CN"/>
        </w:rPr>
        <w:t>回填</w:t>
      </w:r>
      <w:r>
        <w:rPr>
          <w:color w:val="000000"/>
          <w:kern w:val="0"/>
        </w:rPr>
        <w:t>完成后需用压路机（20t）进行压实两遍，回填塘渣粒径不得大于300mm，塘渣分层回填（每次回填厚度不得超过500mm，每层塘渣回填后需采用压路机进行碾压密实（两遍）。</w:t>
      </w:r>
    </w:p>
    <w:p w14:paraId="1953B41D">
      <w:pPr>
        <w:autoSpaceDE w:val="0"/>
        <w:autoSpaceDN w:val="0"/>
        <w:adjustRightInd w:val="0"/>
        <w:spacing w:line="360" w:lineRule="auto"/>
        <w:ind w:firstLine="480"/>
        <w:rPr>
          <w:color w:val="000000"/>
          <w:kern w:val="0"/>
        </w:rPr>
      </w:pPr>
      <w:r>
        <w:rPr>
          <w:color w:val="000000"/>
          <w:kern w:val="0"/>
        </w:rPr>
        <w:t>（4）水稳层的施工时间控制需保证塘渣层的稳定性，水稳层的配比应严格按照设计要求实施。</w:t>
      </w:r>
    </w:p>
    <w:p w14:paraId="74731523">
      <w:pPr>
        <w:autoSpaceDE w:val="0"/>
        <w:autoSpaceDN w:val="0"/>
        <w:adjustRightInd w:val="0"/>
        <w:spacing w:line="360" w:lineRule="auto"/>
        <w:ind w:firstLine="480"/>
        <w:rPr>
          <w:color w:val="000000"/>
          <w:kern w:val="0"/>
        </w:rPr>
      </w:pPr>
      <w:r>
        <w:rPr>
          <w:color w:val="000000"/>
          <w:kern w:val="0"/>
        </w:rPr>
        <w:t>（5）道路施工其它要求详见道路施工图纸。</w:t>
      </w:r>
    </w:p>
    <w:p w14:paraId="01757B2A">
      <w:pPr>
        <w:numPr>
          <w:ilvl w:val="2"/>
          <w:numId w:val="16"/>
        </w:numPr>
        <w:adjustRightInd w:val="0"/>
        <w:spacing w:line="360" w:lineRule="auto"/>
        <w:ind w:left="0" w:firstLine="480"/>
        <w:outlineLvl w:val="2"/>
        <w:rPr>
          <w:color w:val="000000"/>
          <w:kern w:val="0"/>
        </w:rPr>
      </w:pPr>
      <w:bookmarkStart w:id="549" w:name="_Toc12964"/>
      <w:bookmarkStart w:id="550" w:name="_Toc14949"/>
      <w:bookmarkStart w:id="551" w:name="_Toc978"/>
      <w:bookmarkStart w:id="552" w:name="_Toc16914"/>
      <w:bookmarkStart w:id="553" w:name="_Toc190958924"/>
      <w:bookmarkStart w:id="554" w:name="_Toc12076"/>
      <w:r>
        <w:rPr>
          <w:color w:val="000000"/>
          <w:kern w:val="0"/>
        </w:rPr>
        <w:t>施工用水</w:t>
      </w:r>
      <w:bookmarkEnd w:id="549"/>
      <w:bookmarkEnd w:id="550"/>
      <w:bookmarkEnd w:id="551"/>
      <w:bookmarkEnd w:id="552"/>
      <w:bookmarkEnd w:id="553"/>
      <w:bookmarkEnd w:id="554"/>
    </w:p>
    <w:p w14:paraId="10CCD1BA">
      <w:pPr>
        <w:autoSpaceDE w:val="0"/>
        <w:autoSpaceDN w:val="0"/>
        <w:adjustRightInd w:val="0"/>
        <w:spacing w:line="360" w:lineRule="auto"/>
        <w:ind w:firstLine="480"/>
        <w:rPr>
          <w:kern w:val="0"/>
        </w:rPr>
      </w:pPr>
      <w:r>
        <w:rPr>
          <w:kern w:val="0"/>
        </w:rPr>
        <w:t>（一）工作内容</w:t>
      </w:r>
    </w:p>
    <w:p w14:paraId="669D0CC5">
      <w:pPr>
        <w:autoSpaceDE w:val="0"/>
        <w:autoSpaceDN w:val="0"/>
        <w:adjustRightInd w:val="0"/>
        <w:spacing w:line="360" w:lineRule="auto"/>
        <w:ind w:firstLine="480"/>
        <w:rPr>
          <w:kern w:val="0"/>
        </w:rPr>
      </w:pPr>
      <w:r>
        <w:rPr>
          <w:kern w:val="0"/>
        </w:rPr>
        <w:t>（1）从招标人指定的市政自来水管引接一路dn110的供水总管至本工程站址内指定位置后分两路，一路接施工用水口（设取水阀并用堵头板封堵），一路接临时消防水箱。取水管采用PE100级塑料给水管，在总管上加设水表，水表必须经过当地主管部门校核。</w:t>
      </w:r>
    </w:p>
    <w:p w14:paraId="780F5BB5">
      <w:pPr>
        <w:autoSpaceDE w:val="0"/>
        <w:autoSpaceDN w:val="0"/>
        <w:adjustRightInd w:val="0"/>
        <w:spacing w:line="360" w:lineRule="auto"/>
        <w:ind w:firstLine="480"/>
        <w:rPr>
          <w:kern w:val="0"/>
        </w:rPr>
      </w:pPr>
      <w:r>
        <w:rPr>
          <w:kern w:val="0"/>
        </w:rPr>
        <w:t>（2）在本工程施工临建区安装1只SU</w:t>
      </w:r>
      <w:r>
        <w:rPr>
          <w:rFonts w:hint="eastAsia"/>
          <w:kern w:val="0"/>
          <w:lang w:val="en-US" w:eastAsia="zh-CN"/>
        </w:rPr>
        <w:t>S</w:t>
      </w:r>
      <w:r>
        <w:rPr>
          <w:kern w:val="0"/>
        </w:rPr>
        <w:t>304不锈钢水箱用于施工期消防供水，不锈钢水箱容积不小于60m</w:t>
      </w:r>
      <w:r>
        <w:rPr>
          <w:kern w:val="0"/>
          <w:vertAlign w:val="superscript"/>
        </w:rPr>
        <w:t>3</w:t>
      </w:r>
      <w:r>
        <w:rPr>
          <w:kern w:val="0"/>
        </w:rPr>
        <w:t>，外包保温层；水箱厚度不低于6 mm。水箱位置及高程由招标人指定。</w:t>
      </w:r>
    </w:p>
    <w:p w14:paraId="57CA8BEA">
      <w:pPr>
        <w:autoSpaceDE w:val="0"/>
        <w:autoSpaceDN w:val="0"/>
        <w:adjustRightInd w:val="0"/>
        <w:spacing w:line="360" w:lineRule="auto"/>
        <w:ind w:firstLine="480"/>
        <w:rPr>
          <w:kern w:val="0"/>
        </w:rPr>
      </w:pPr>
      <w:r>
        <w:rPr>
          <w:kern w:val="0"/>
        </w:rPr>
        <w:t>（3）</w:t>
      </w:r>
      <w:r>
        <w:rPr>
          <w:rFonts w:hint="eastAsia"/>
          <w:kern w:val="0"/>
          <w:lang w:eastAsia="zh-CN"/>
        </w:rPr>
        <w:t>投标人</w:t>
      </w:r>
      <w:r>
        <w:rPr>
          <w:kern w:val="0"/>
        </w:rPr>
        <w:t>在本施工用水项目中，须负责对本工程用水管理：定期对水表进行抄表计量；对设备及管网的维护工作（水表、水箱、系统阀门的开、关操作及损坏管道的维修等）；期限至本标段工程移交为止。</w:t>
      </w:r>
    </w:p>
    <w:p w14:paraId="743D4844">
      <w:pPr>
        <w:autoSpaceDE w:val="0"/>
        <w:autoSpaceDN w:val="0"/>
        <w:adjustRightInd w:val="0"/>
        <w:spacing w:line="360" w:lineRule="auto"/>
        <w:ind w:firstLine="480"/>
        <w:rPr>
          <w:kern w:val="0"/>
        </w:rPr>
      </w:pPr>
      <w:r>
        <w:rPr>
          <w:kern w:val="0"/>
        </w:rPr>
        <w:t>（二）技术要求</w:t>
      </w:r>
    </w:p>
    <w:p w14:paraId="41FF96E7">
      <w:pPr>
        <w:autoSpaceDE w:val="0"/>
        <w:autoSpaceDN w:val="0"/>
        <w:adjustRightInd w:val="0"/>
        <w:spacing w:line="360" w:lineRule="auto"/>
        <w:ind w:firstLine="480"/>
        <w:rPr>
          <w:kern w:val="0"/>
        </w:rPr>
      </w:pPr>
      <w:r>
        <w:rPr>
          <w:kern w:val="0"/>
        </w:rPr>
        <w:t>（1）施工所用钢管需有相应的合格证，材质、规格、型号等需严格按照设计要求执行。</w:t>
      </w:r>
    </w:p>
    <w:p w14:paraId="261AE134">
      <w:pPr>
        <w:autoSpaceDE w:val="0"/>
        <w:autoSpaceDN w:val="0"/>
        <w:adjustRightInd w:val="0"/>
        <w:spacing w:line="360" w:lineRule="auto"/>
        <w:ind w:firstLine="480"/>
        <w:rPr>
          <w:kern w:val="0"/>
        </w:rPr>
      </w:pPr>
      <w:r>
        <w:rPr>
          <w:kern w:val="0"/>
        </w:rPr>
        <w:t>（2）施工用水管基坑开挖后需进行原土压实，避免不均匀沉降引起管道开裂。</w:t>
      </w:r>
    </w:p>
    <w:p w14:paraId="01F8B39E">
      <w:pPr>
        <w:autoSpaceDE w:val="0"/>
        <w:autoSpaceDN w:val="0"/>
        <w:adjustRightInd w:val="0"/>
        <w:spacing w:line="360" w:lineRule="auto"/>
        <w:ind w:firstLine="480"/>
        <w:rPr>
          <w:kern w:val="0"/>
        </w:rPr>
      </w:pPr>
      <w:r>
        <w:rPr>
          <w:kern w:val="0"/>
        </w:rPr>
        <w:t>（3）管道连接的焊接工作需严格控制焊接质量，必须采用坡口焊焊接工艺，焊接完成后需经专人验收才能隐蔽。</w:t>
      </w:r>
    </w:p>
    <w:p w14:paraId="5889C905">
      <w:pPr>
        <w:autoSpaceDE w:val="0"/>
        <w:autoSpaceDN w:val="0"/>
        <w:adjustRightInd w:val="0"/>
        <w:spacing w:line="360" w:lineRule="auto"/>
        <w:ind w:firstLine="480"/>
        <w:rPr>
          <w:kern w:val="0"/>
        </w:rPr>
      </w:pPr>
      <w:r>
        <w:rPr>
          <w:kern w:val="0"/>
        </w:rPr>
        <w:t>（4）焊接接口的防腐工作需严格按照设计要求实施。</w:t>
      </w:r>
    </w:p>
    <w:p w14:paraId="2DF079F3">
      <w:pPr>
        <w:autoSpaceDE w:val="0"/>
        <w:autoSpaceDN w:val="0"/>
        <w:adjustRightInd w:val="0"/>
        <w:spacing w:line="360" w:lineRule="auto"/>
        <w:ind w:firstLine="480"/>
        <w:rPr>
          <w:kern w:val="0"/>
        </w:rPr>
      </w:pPr>
      <w:r>
        <w:rPr>
          <w:kern w:val="0"/>
        </w:rPr>
        <w:t>（5）需严格控制管道上部回填的保护材料，以免管道受压破坏。</w:t>
      </w:r>
    </w:p>
    <w:p w14:paraId="36ECB6CB">
      <w:pPr>
        <w:autoSpaceDE w:val="0"/>
        <w:autoSpaceDN w:val="0"/>
        <w:adjustRightInd w:val="0"/>
        <w:spacing w:line="360" w:lineRule="auto"/>
        <w:ind w:firstLine="480"/>
        <w:rPr>
          <w:kern w:val="0"/>
        </w:rPr>
      </w:pPr>
      <w:r>
        <w:rPr>
          <w:kern w:val="0"/>
        </w:rPr>
        <w:t>（6）水管安装完成后需按规范要求进行稳压试验。</w:t>
      </w:r>
    </w:p>
    <w:p w14:paraId="5A8C41C0">
      <w:pPr>
        <w:autoSpaceDE w:val="0"/>
        <w:autoSpaceDN w:val="0"/>
        <w:adjustRightInd w:val="0"/>
        <w:spacing w:line="360" w:lineRule="auto"/>
        <w:ind w:firstLine="480"/>
        <w:rPr>
          <w:kern w:val="0"/>
        </w:rPr>
      </w:pPr>
      <w:r>
        <w:rPr>
          <w:kern w:val="0"/>
        </w:rPr>
        <w:t>（7）施工、生活用水管道敷设走向，严格按照《施工用水布置图》执行。</w:t>
      </w:r>
    </w:p>
    <w:p w14:paraId="47C02A4D">
      <w:pPr>
        <w:autoSpaceDE w:val="0"/>
        <w:autoSpaceDN w:val="0"/>
        <w:adjustRightInd w:val="0"/>
        <w:spacing w:line="360" w:lineRule="auto"/>
        <w:ind w:firstLine="480"/>
        <w:rPr>
          <w:kern w:val="0"/>
        </w:rPr>
      </w:pPr>
      <w:r>
        <w:rPr>
          <w:kern w:val="0"/>
        </w:rPr>
        <w:t>（8）施工临时用水工程的施工和验收应遵照相关施工及验收规范要求。</w:t>
      </w:r>
    </w:p>
    <w:p w14:paraId="4617AB50">
      <w:pPr>
        <w:autoSpaceDE w:val="0"/>
        <w:autoSpaceDN w:val="0"/>
        <w:adjustRightInd w:val="0"/>
        <w:spacing w:line="360" w:lineRule="auto"/>
        <w:ind w:firstLine="480"/>
        <w:rPr>
          <w:kern w:val="0"/>
        </w:rPr>
      </w:pPr>
      <w:r>
        <w:rPr>
          <w:kern w:val="0"/>
        </w:rPr>
        <w:t>（9）管道的安装及验收标准按《给水排水管道工程施工及验收规范》（GB50268）执行。PE塑料给水管安装按《埋地塑料给水管道工程技术规程》（CJJ101）进行施工。</w:t>
      </w:r>
    </w:p>
    <w:p w14:paraId="1973D53E">
      <w:pPr>
        <w:autoSpaceDE w:val="0"/>
        <w:autoSpaceDN w:val="0"/>
        <w:adjustRightInd w:val="0"/>
        <w:spacing w:line="360" w:lineRule="auto"/>
        <w:ind w:firstLine="480"/>
        <w:rPr>
          <w:kern w:val="0"/>
        </w:rPr>
      </w:pPr>
      <w:r>
        <w:rPr>
          <w:kern w:val="0"/>
        </w:rPr>
        <w:t>（10）管道基础及回填要求：给水管道如为未经扰动原状土，则天然地基夯实；如为回填土，做300mm灰土垫层，如为岩石或多石层，做150mm砂石垫层。管道四周应回填砂或土。</w:t>
      </w:r>
    </w:p>
    <w:p w14:paraId="2F112383">
      <w:pPr>
        <w:autoSpaceDE w:val="0"/>
        <w:autoSpaceDN w:val="0"/>
        <w:adjustRightInd w:val="0"/>
        <w:spacing w:line="360" w:lineRule="auto"/>
        <w:ind w:firstLine="480"/>
        <w:rPr>
          <w:kern w:val="0"/>
        </w:rPr>
      </w:pPr>
      <w:r>
        <w:rPr>
          <w:kern w:val="0"/>
        </w:rPr>
        <w:t>（11）管道穿道路时应采用钢套管保护。</w:t>
      </w:r>
    </w:p>
    <w:p w14:paraId="06A2D2A8">
      <w:pPr>
        <w:numPr>
          <w:ilvl w:val="2"/>
          <w:numId w:val="16"/>
        </w:numPr>
        <w:adjustRightInd w:val="0"/>
        <w:spacing w:line="360" w:lineRule="auto"/>
        <w:ind w:left="0" w:firstLine="480"/>
        <w:outlineLvl w:val="2"/>
        <w:rPr>
          <w:color w:val="000000"/>
          <w:kern w:val="0"/>
        </w:rPr>
      </w:pPr>
      <w:bookmarkStart w:id="555" w:name="_Toc190958931"/>
      <w:bookmarkEnd w:id="555"/>
      <w:bookmarkStart w:id="556" w:name="_Toc190958928"/>
      <w:bookmarkEnd w:id="556"/>
      <w:bookmarkStart w:id="557" w:name="_Toc190958929"/>
      <w:bookmarkEnd w:id="557"/>
      <w:bookmarkStart w:id="558" w:name="_Toc190958925"/>
      <w:bookmarkEnd w:id="558"/>
      <w:bookmarkStart w:id="559" w:name="_Toc190958926"/>
      <w:bookmarkEnd w:id="559"/>
      <w:bookmarkStart w:id="560" w:name="_Toc190958927"/>
      <w:bookmarkEnd w:id="560"/>
      <w:bookmarkStart w:id="561" w:name="_Toc190958930"/>
      <w:bookmarkEnd w:id="561"/>
      <w:bookmarkStart w:id="562" w:name="_Toc32302"/>
      <w:bookmarkStart w:id="563" w:name="_Toc190958932"/>
      <w:bookmarkStart w:id="564" w:name="_Toc2194"/>
      <w:bookmarkStart w:id="565" w:name="_Toc29234"/>
      <w:bookmarkStart w:id="566" w:name="_Toc14250"/>
      <w:bookmarkStart w:id="567" w:name="_Toc27434"/>
      <w:r>
        <w:rPr>
          <w:color w:val="000000"/>
          <w:kern w:val="0"/>
        </w:rPr>
        <w:t>施工用电</w:t>
      </w:r>
      <w:bookmarkEnd w:id="562"/>
      <w:bookmarkEnd w:id="563"/>
      <w:bookmarkEnd w:id="564"/>
      <w:bookmarkEnd w:id="565"/>
      <w:bookmarkEnd w:id="566"/>
      <w:bookmarkEnd w:id="567"/>
    </w:p>
    <w:p w14:paraId="16E4E1B9">
      <w:pPr>
        <w:tabs>
          <w:tab w:val="center" w:pos="4680"/>
          <w:tab w:val="right" w:pos="9360"/>
        </w:tabs>
        <w:adjustRightInd w:val="0"/>
        <w:spacing w:line="360" w:lineRule="auto"/>
        <w:ind w:firstLine="480"/>
      </w:pPr>
      <w:r>
        <w:t>本工程为舟山市普陀2#海上风电场项目，施工现场的供电量应满足全工地土建和安装的动力用电、焊接及热处理用电、照明用电、空调、办公、生活区等最大用电量。本工程施工范围包含施工变进线电源、现场施工供电设备及材料采购（含电缆及配套件）、安装、调试、试验、检验、验收等工作，箱变布设位置由招标人根据现场实际情况指定。</w:t>
      </w:r>
    </w:p>
    <w:p w14:paraId="20655198">
      <w:pPr>
        <w:adjustRightInd w:val="0"/>
        <w:spacing w:line="360" w:lineRule="auto"/>
        <w:ind w:firstLine="480"/>
      </w:pPr>
      <w:r>
        <w:t>（一）工作内容</w:t>
      </w:r>
    </w:p>
    <w:p w14:paraId="42E53895">
      <w:pPr>
        <w:numPr>
          <w:ilvl w:val="0"/>
          <w:numId w:val="17"/>
        </w:numPr>
        <w:adjustRightInd w:val="0"/>
        <w:spacing w:line="360" w:lineRule="auto"/>
        <w:ind w:left="0" w:firstLine="480"/>
      </w:pPr>
      <w:r>
        <w:t>施工变进线电源</w:t>
      </w:r>
    </w:p>
    <w:p w14:paraId="3D14DB1E">
      <w:pPr>
        <w:numPr>
          <w:ilvl w:val="0"/>
          <w:numId w:val="18"/>
        </w:numPr>
        <w:tabs>
          <w:tab w:val="center" w:pos="4680"/>
          <w:tab w:val="right" w:pos="9360"/>
        </w:tabs>
        <w:adjustRightInd w:val="0"/>
        <w:spacing w:line="360" w:lineRule="auto"/>
        <w:ind w:firstLine="480"/>
      </w:pPr>
      <w:r>
        <w:t>敷设市电至10kV开关柜电缆1根，电缆型号为ZR－YJV22－8.7/10 3x70mm²，单根直埋总长约600 米（直埋方式详见技术要求），并接至10kV开关柜上，市电来源于大坝附近的电线杆。10kV箱式柜含进线柜，计量柜，出线柜，出线柜敷设至电缆分支箱电缆1根，型号ZR－YJV22－8.7/10 3x70mm²，直埋总长约50m。敷设电缆分支箱至400kVA箱式变的电缆1根，电缆型号为ZR－YJV22－8.7/10 3x70mm²，单根直埋总长约50 米，敷设电缆分支箱至</w:t>
      </w:r>
      <w:r>
        <w:rPr>
          <w:rFonts w:hint="eastAsia"/>
        </w:rPr>
        <w:t>2台</w:t>
      </w:r>
      <w:r>
        <w:t>800kVA箱式变的电缆</w:t>
      </w:r>
      <w:r>
        <w:rPr>
          <w:rFonts w:hint="eastAsia"/>
        </w:rPr>
        <w:t>各</w:t>
      </w:r>
      <w:r>
        <w:t>1根，电缆型号为ZR-YJV22－8.7/10 3x70mm²，单根直埋总长约75 米。</w:t>
      </w:r>
    </w:p>
    <w:p w14:paraId="7FC3007C">
      <w:pPr>
        <w:adjustRightInd w:val="0"/>
        <w:spacing w:line="360" w:lineRule="auto"/>
        <w:ind w:firstLine="480"/>
        <w:textAlignment w:val="baseline"/>
      </w:pPr>
      <w:r>
        <w:t>下图为市电来源（黄色三角）</w:t>
      </w:r>
    </w:p>
    <w:p w14:paraId="4E6A2BD4">
      <w:pPr>
        <w:tabs>
          <w:tab w:val="center" w:pos="4680"/>
          <w:tab w:val="right" w:pos="9360"/>
        </w:tabs>
        <w:adjustRightInd w:val="0"/>
        <w:spacing w:line="360" w:lineRule="auto"/>
        <w:ind w:firstLine="0" w:firstLineChars="0"/>
        <w:jc w:val="center"/>
      </w:pPr>
      <w:r>
        <w:drawing>
          <wp:inline distT="0" distB="0" distL="0" distR="0">
            <wp:extent cx="1991995" cy="2348865"/>
            <wp:effectExtent l="0" t="0" r="8255" b="0"/>
            <wp:docPr id="101960425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604256"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l="2120" t="25601" r="1120" b="21775"/>
                    <a:stretch>
                      <a:fillRect/>
                    </a:stretch>
                  </pic:blipFill>
                  <pic:spPr>
                    <a:xfrm>
                      <a:off x="0" y="0"/>
                      <a:ext cx="2005966" cy="2365199"/>
                    </a:xfrm>
                    <a:prstGeom prst="rect">
                      <a:avLst/>
                    </a:prstGeom>
                    <a:noFill/>
                    <a:ln>
                      <a:noFill/>
                    </a:ln>
                  </pic:spPr>
                </pic:pic>
              </a:graphicData>
            </a:graphic>
          </wp:inline>
        </w:drawing>
      </w:r>
      <w:r>
        <w:rPr>
          <w:rFonts w:hint="eastAsia"/>
        </w:rPr>
        <w:t xml:space="preserve">   </w:t>
      </w:r>
      <w:r>
        <w:drawing>
          <wp:inline distT="0" distB="0" distL="114300" distR="114300">
            <wp:extent cx="2308860" cy="2350135"/>
            <wp:effectExtent l="0" t="0" r="0" b="0"/>
            <wp:docPr id="8" name="图片 7"/>
            <wp:cNvGraphicFramePr/>
            <a:graphic xmlns:a="http://schemas.openxmlformats.org/drawingml/2006/main">
              <a:graphicData uri="http://schemas.openxmlformats.org/drawingml/2006/picture">
                <pic:pic xmlns:pic="http://schemas.openxmlformats.org/drawingml/2006/picture">
                  <pic:nvPicPr>
                    <pic:cNvPr id="8" name="图片 7"/>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09301" cy="2350507"/>
                    </a:xfrm>
                    <a:prstGeom prst="rect">
                      <a:avLst/>
                    </a:prstGeom>
                    <a:noFill/>
                    <a:ln>
                      <a:noFill/>
                    </a:ln>
                  </pic:spPr>
                </pic:pic>
              </a:graphicData>
            </a:graphic>
          </wp:inline>
        </w:drawing>
      </w:r>
    </w:p>
    <w:p w14:paraId="0E16CED8">
      <w:pPr>
        <w:tabs>
          <w:tab w:val="center" w:pos="4680"/>
          <w:tab w:val="right" w:pos="9360"/>
        </w:tabs>
        <w:adjustRightInd w:val="0"/>
        <w:spacing w:line="360" w:lineRule="auto"/>
        <w:ind w:firstLine="480"/>
      </w:pPr>
      <w:r>
        <w:t>（2）由</w:t>
      </w:r>
      <w:r>
        <w:rPr>
          <w:rFonts w:hint="eastAsia"/>
          <w:lang w:eastAsia="zh-CN"/>
        </w:rPr>
        <w:t>投标人</w:t>
      </w:r>
      <w:r>
        <w:t>完成上述（1）工作内容相应的调试、试验工作，调试试验工作包括但不限于（主电源变压器、10kV开关柜、10kV电缆的预防性试验及变压器保护柜保护校验及调试、试验工作），最终满足国家和行业现行的相关规范要求。</w:t>
      </w:r>
    </w:p>
    <w:p w14:paraId="78B53451">
      <w:pPr>
        <w:adjustRightInd w:val="0"/>
        <w:spacing w:line="360" w:lineRule="auto"/>
        <w:ind w:firstLine="480"/>
        <w:textAlignment w:val="baseline"/>
      </w:pPr>
      <w:r>
        <w:t>表</w:t>
      </w:r>
      <w:r>
        <w:rPr>
          <w:rFonts w:hint="eastAsia"/>
          <w:lang w:val="en-US" w:eastAsia="zh-CN"/>
        </w:rPr>
        <w:t xml:space="preserve">5.2.6-1     </w:t>
      </w:r>
      <w:r>
        <w:t xml:space="preserve"> 电气设备材料清册（施工电源）</w:t>
      </w:r>
    </w:p>
    <w:tbl>
      <w:tblPr>
        <w:tblStyle w:val="28"/>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782"/>
        <w:gridCol w:w="1879"/>
        <w:gridCol w:w="2816"/>
        <w:gridCol w:w="780"/>
        <w:gridCol w:w="938"/>
        <w:gridCol w:w="2091"/>
      </w:tblGrid>
      <w:tr w14:paraId="5ED775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tblHeader/>
          <w:jc w:val="center"/>
        </w:trPr>
        <w:tc>
          <w:tcPr>
            <w:tcW w:w="421" w:type="pct"/>
            <w:shd w:val="clear" w:color="auto" w:fill="auto"/>
            <w:vAlign w:val="center"/>
          </w:tcPr>
          <w:p w14:paraId="3438028C">
            <w:pPr>
              <w:adjustRightInd w:val="0"/>
              <w:spacing w:line="240" w:lineRule="auto"/>
              <w:ind w:firstLine="0" w:firstLineChars="0"/>
              <w:jc w:val="center"/>
              <w:rPr>
                <w:sz w:val="21"/>
                <w:szCs w:val="21"/>
              </w:rPr>
            </w:pPr>
            <w:r>
              <w:rPr>
                <w:sz w:val="21"/>
                <w:szCs w:val="21"/>
              </w:rPr>
              <w:t>序号</w:t>
            </w:r>
          </w:p>
        </w:tc>
        <w:tc>
          <w:tcPr>
            <w:tcW w:w="1012" w:type="pct"/>
            <w:shd w:val="clear" w:color="auto" w:fill="auto"/>
            <w:vAlign w:val="center"/>
          </w:tcPr>
          <w:p w14:paraId="27D47022">
            <w:pPr>
              <w:adjustRightInd w:val="0"/>
              <w:spacing w:line="240" w:lineRule="auto"/>
              <w:ind w:firstLine="0" w:firstLineChars="0"/>
              <w:jc w:val="center"/>
              <w:rPr>
                <w:sz w:val="21"/>
                <w:szCs w:val="21"/>
              </w:rPr>
            </w:pPr>
            <w:r>
              <w:rPr>
                <w:sz w:val="21"/>
                <w:szCs w:val="21"/>
              </w:rPr>
              <w:t>设备名称</w:t>
            </w:r>
          </w:p>
        </w:tc>
        <w:tc>
          <w:tcPr>
            <w:tcW w:w="1516" w:type="pct"/>
            <w:shd w:val="clear" w:color="auto" w:fill="auto"/>
            <w:vAlign w:val="center"/>
          </w:tcPr>
          <w:p w14:paraId="5AB03A58">
            <w:pPr>
              <w:adjustRightInd w:val="0"/>
              <w:spacing w:line="240" w:lineRule="auto"/>
              <w:ind w:firstLine="0" w:firstLineChars="0"/>
              <w:jc w:val="center"/>
              <w:rPr>
                <w:sz w:val="21"/>
                <w:szCs w:val="21"/>
              </w:rPr>
            </w:pPr>
            <w:r>
              <w:rPr>
                <w:sz w:val="21"/>
                <w:szCs w:val="21"/>
              </w:rPr>
              <w:t>技   术   规   范</w:t>
            </w:r>
          </w:p>
        </w:tc>
        <w:tc>
          <w:tcPr>
            <w:tcW w:w="420" w:type="pct"/>
            <w:shd w:val="clear" w:color="auto" w:fill="auto"/>
            <w:vAlign w:val="center"/>
          </w:tcPr>
          <w:p w14:paraId="3D306D26">
            <w:pPr>
              <w:adjustRightInd w:val="0"/>
              <w:spacing w:line="240" w:lineRule="auto"/>
              <w:ind w:firstLine="0" w:firstLineChars="0"/>
              <w:jc w:val="center"/>
              <w:rPr>
                <w:sz w:val="21"/>
                <w:szCs w:val="21"/>
              </w:rPr>
            </w:pPr>
            <w:r>
              <w:rPr>
                <w:sz w:val="21"/>
                <w:szCs w:val="21"/>
              </w:rPr>
              <w:t>单位</w:t>
            </w:r>
          </w:p>
        </w:tc>
        <w:tc>
          <w:tcPr>
            <w:tcW w:w="505" w:type="pct"/>
            <w:shd w:val="clear" w:color="auto" w:fill="auto"/>
            <w:vAlign w:val="center"/>
          </w:tcPr>
          <w:p w14:paraId="15DEF20C">
            <w:pPr>
              <w:adjustRightInd w:val="0"/>
              <w:spacing w:line="240" w:lineRule="auto"/>
              <w:ind w:firstLine="0" w:firstLineChars="0"/>
              <w:jc w:val="center"/>
              <w:rPr>
                <w:sz w:val="21"/>
                <w:szCs w:val="21"/>
              </w:rPr>
            </w:pPr>
            <w:r>
              <w:rPr>
                <w:sz w:val="21"/>
                <w:szCs w:val="21"/>
              </w:rPr>
              <w:t>数量</w:t>
            </w:r>
          </w:p>
        </w:tc>
        <w:tc>
          <w:tcPr>
            <w:tcW w:w="1126" w:type="pct"/>
            <w:shd w:val="clear" w:color="auto" w:fill="auto"/>
            <w:vAlign w:val="center"/>
          </w:tcPr>
          <w:p w14:paraId="79B53E72">
            <w:pPr>
              <w:adjustRightInd w:val="0"/>
              <w:spacing w:line="240" w:lineRule="auto"/>
              <w:ind w:firstLine="0" w:firstLineChars="0"/>
              <w:jc w:val="center"/>
              <w:rPr>
                <w:sz w:val="21"/>
                <w:szCs w:val="21"/>
              </w:rPr>
            </w:pPr>
            <w:r>
              <w:rPr>
                <w:sz w:val="21"/>
                <w:szCs w:val="21"/>
              </w:rPr>
              <w:t>备 注</w:t>
            </w:r>
          </w:p>
        </w:tc>
      </w:tr>
      <w:tr w14:paraId="3C8BAE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421" w:type="pct"/>
            <w:shd w:val="clear" w:color="auto" w:fill="auto"/>
            <w:vAlign w:val="center"/>
          </w:tcPr>
          <w:p w14:paraId="4599E4C6">
            <w:pPr>
              <w:autoSpaceDE w:val="0"/>
              <w:autoSpaceDN w:val="0"/>
              <w:adjustRightInd w:val="0"/>
              <w:spacing w:line="240" w:lineRule="auto"/>
              <w:ind w:firstLine="0" w:firstLineChars="0"/>
              <w:jc w:val="center"/>
              <w:rPr>
                <w:sz w:val="21"/>
                <w:szCs w:val="21"/>
              </w:rPr>
            </w:pPr>
            <w:r>
              <w:rPr>
                <w:sz w:val="21"/>
                <w:szCs w:val="21"/>
              </w:rPr>
              <w:t>1</w:t>
            </w:r>
          </w:p>
        </w:tc>
        <w:tc>
          <w:tcPr>
            <w:tcW w:w="1012" w:type="pct"/>
            <w:shd w:val="clear" w:color="auto" w:fill="auto"/>
            <w:vAlign w:val="center"/>
          </w:tcPr>
          <w:p w14:paraId="5B69AD92">
            <w:pPr>
              <w:autoSpaceDE w:val="0"/>
              <w:autoSpaceDN w:val="0"/>
              <w:adjustRightInd w:val="0"/>
              <w:spacing w:line="240" w:lineRule="auto"/>
              <w:ind w:firstLine="0" w:firstLineChars="0"/>
              <w:jc w:val="center"/>
              <w:rPr>
                <w:sz w:val="21"/>
                <w:szCs w:val="21"/>
              </w:rPr>
            </w:pPr>
            <w:r>
              <w:rPr>
                <w:sz w:val="21"/>
                <w:szCs w:val="21"/>
              </w:rPr>
              <w:t>10kV箱式柜</w:t>
            </w:r>
          </w:p>
        </w:tc>
        <w:tc>
          <w:tcPr>
            <w:tcW w:w="1516" w:type="pct"/>
            <w:shd w:val="clear" w:color="auto" w:fill="auto"/>
            <w:vAlign w:val="center"/>
          </w:tcPr>
          <w:p w14:paraId="36DEAAAB">
            <w:pPr>
              <w:autoSpaceDE w:val="0"/>
              <w:autoSpaceDN w:val="0"/>
              <w:adjustRightInd w:val="0"/>
              <w:spacing w:line="240" w:lineRule="auto"/>
              <w:ind w:firstLine="0" w:firstLineChars="0"/>
              <w:jc w:val="center"/>
              <w:rPr>
                <w:sz w:val="21"/>
                <w:szCs w:val="21"/>
              </w:rPr>
            </w:pPr>
            <w:r>
              <w:rPr>
                <w:sz w:val="21"/>
                <w:szCs w:val="21"/>
              </w:rPr>
              <w:t>内含3面12kV，1250A，25kA真空断路器柜，配微机型综保装置</w:t>
            </w:r>
          </w:p>
        </w:tc>
        <w:tc>
          <w:tcPr>
            <w:tcW w:w="420" w:type="pct"/>
            <w:shd w:val="clear" w:color="auto" w:fill="auto"/>
            <w:vAlign w:val="center"/>
          </w:tcPr>
          <w:p w14:paraId="42829D63">
            <w:pPr>
              <w:autoSpaceDE w:val="0"/>
              <w:autoSpaceDN w:val="0"/>
              <w:adjustRightInd w:val="0"/>
              <w:spacing w:line="240" w:lineRule="auto"/>
              <w:ind w:firstLine="0" w:firstLineChars="0"/>
              <w:jc w:val="center"/>
              <w:rPr>
                <w:sz w:val="21"/>
                <w:szCs w:val="21"/>
              </w:rPr>
            </w:pPr>
            <w:r>
              <w:rPr>
                <w:sz w:val="21"/>
                <w:szCs w:val="21"/>
              </w:rPr>
              <w:t>台</w:t>
            </w:r>
          </w:p>
        </w:tc>
        <w:tc>
          <w:tcPr>
            <w:tcW w:w="505" w:type="pct"/>
            <w:shd w:val="clear" w:color="auto" w:fill="auto"/>
            <w:vAlign w:val="center"/>
          </w:tcPr>
          <w:p w14:paraId="234A7265">
            <w:pPr>
              <w:autoSpaceDE w:val="0"/>
              <w:autoSpaceDN w:val="0"/>
              <w:adjustRightInd w:val="0"/>
              <w:spacing w:line="240" w:lineRule="auto"/>
              <w:ind w:firstLine="0" w:firstLineChars="0"/>
              <w:jc w:val="center"/>
              <w:rPr>
                <w:sz w:val="21"/>
                <w:szCs w:val="21"/>
              </w:rPr>
            </w:pPr>
            <w:r>
              <w:rPr>
                <w:sz w:val="21"/>
                <w:szCs w:val="21"/>
              </w:rPr>
              <w:t>1</w:t>
            </w:r>
          </w:p>
        </w:tc>
        <w:tc>
          <w:tcPr>
            <w:tcW w:w="1126" w:type="pct"/>
            <w:shd w:val="clear" w:color="auto" w:fill="auto"/>
            <w:vAlign w:val="center"/>
          </w:tcPr>
          <w:p w14:paraId="68D08857">
            <w:pPr>
              <w:autoSpaceDE w:val="0"/>
              <w:autoSpaceDN w:val="0"/>
              <w:adjustRightInd w:val="0"/>
              <w:spacing w:line="240" w:lineRule="auto"/>
              <w:ind w:firstLine="0" w:firstLineChars="0"/>
              <w:jc w:val="center"/>
              <w:rPr>
                <w:sz w:val="21"/>
                <w:szCs w:val="21"/>
              </w:rPr>
            </w:pPr>
            <w:r>
              <w:rPr>
                <w:sz w:val="21"/>
                <w:szCs w:val="21"/>
              </w:rPr>
              <w:t>10kV箱式柜</w:t>
            </w:r>
          </w:p>
        </w:tc>
      </w:tr>
      <w:tr w14:paraId="1D1D6D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421" w:type="pct"/>
            <w:shd w:val="clear" w:color="auto" w:fill="auto"/>
            <w:vAlign w:val="center"/>
          </w:tcPr>
          <w:p w14:paraId="28005075">
            <w:pPr>
              <w:autoSpaceDE w:val="0"/>
              <w:autoSpaceDN w:val="0"/>
              <w:adjustRightInd w:val="0"/>
              <w:spacing w:line="240" w:lineRule="auto"/>
              <w:ind w:firstLine="0" w:firstLineChars="0"/>
              <w:jc w:val="center"/>
              <w:rPr>
                <w:sz w:val="21"/>
                <w:szCs w:val="21"/>
              </w:rPr>
            </w:pPr>
            <w:r>
              <w:rPr>
                <w:sz w:val="21"/>
                <w:szCs w:val="21"/>
              </w:rPr>
              <w:t>2</w:t>
            </w:r>
          </w:p>
        </w:tc>
        <w:tc>
          <w:tcPr>
            <w:tcW w:w="1012" w:type="pct"/>
            <w:shd w:val="clear" w:color="auto" w:fill="auto"/>
            <w:vAlign w:val="center"/>
          </w:tcPr>
          <w:p w14:paraId="254AE32B">
            <w:pPr>
              <w:autoSpaceDE w:val="0"/>
              <w:autoSpaceDN w:val="0"/>
              <w:adjustRightInd w:val="0"/>
              <w:spacing w:line="240" w:lineRule="auto"/>
              <w:ind w:firstLine="0" w:firstLineChars="0"/>
              <w:jc w:val="center"/>
              <w:rPr>
                <w:sz w:val="21"/>
                <w:szCs w:val="21"/>
              </w:rPr>
            </w:pPr>
            <w:r>
              <w:rPr>
                <w:sz w:val="21"/>
                <w:szCs w:val="21"/>
              </w:rPr>
              <w:t>电缆分支箱</w:t>
            </w:r>
          </w:p>
        </w:tc>
        <w:tc>
          <w:tcPr>
            <w:tcW w:w="1516" w:type="pct"/>
            <w:shd w:val="clear" w:color="auto" w:fill="auto"/>
            <w:vAlign w:val="center"/>
          </w:tcPr>
          <w:p w14:paraId="6A217A49">
            <w:pPr>
              <w:autoSpaceDE w:val="0"/>
              <w:autoSpaceDN w:val="0"/>
              <w:adjustRightInd w:val="0"/>
              <w:spacing w:line="240" w:lineRule="auto"/>
              <w:ind w:firstLine="0" w:firstLineChars="0"/>
              <w:jc w:val="center"/>
              <w:rPr>
                <w:sz w:val="21"/>
                <w:szCs w:val="21"/>
              </w:rPr>
            </w:pPr>
            <w:r>
              <w:rPr>
                <w:sz w:val="21"/>
                <w:szCs w:val="21"/>
              </w:rPr>
              <w:t>含母线，避雷器，负荷开关，电缆头等，防护等级不低于IP54</w:t>
            </w:r>
          </w:p>
        </w:tc>
        <w:tc>
          <w:tcPr>
            <w:tcW w:w="420" w:type="pct"/>
            <w:shd w:val="clear" w:color="auto" w:fill="auto"/>
            <w:vAlign w:val="center"/>
          </w:tcPr>
          <w:p w14:paraId="71B9E4E9">
            <w:pPr>
              <w:autoSpaceDE w:val="0"/>
              <w:autoSpaceDN w:val="0"/>
              <w:adjustRightInd w:val="0"/>
              <w:spacing w:line="240" w:lineRule="auto"/>
              <w:ind w:firstLine="0" w:firstLineChars="0"/>
              <w:jc w:val="center"/>
              <w:rPr>
                <w:sz w:val="21"/>
                <w:szCs w:val="21"/>
              </w:rPr>
            </w:pPr>
            <w:r>
              <w:rPr>
                <w:sz w:val="21"/>
                <w:szCs w:val="21"/>
              </w:rPr>
              <w:t>台</w:t>
            </w:r>
          </w:p>
        </w:tc>
        <w:tc>
          <w:tcPr>
            <w:tcW w:w="505" w:type="pct"/>
            <w:shd w:val="clear" w:color="auto" w:fill="auto"/>
            <w:vAlign w:val="center"/>
          </w:tcPr>
          <w:p w14:paraId="731CDF4F">
            <w:pPr>
              <w:autoSpaceDE w:val="0"/>
              <w:autoSpaceDN w:val="0"/>
              <w:adjustRightInd w:val="0"/>
              <w:spacing w:line="240" w:lineRule="auto"/>
              <w:ind w:firstLine="0" w:firstLineChars="0"/>
              <w:jc w:val="center"/>
              <w:rPr>
                <w:sz w:val="21"/>
                <w:szCs w:val="21"/>
              </w:rPr>
            </w:pPr>
            <w:r>
              <w:rPr>
                <w:sz w:val="21"/>
                <w:szCs w:val="21"/>
              </w:rPr>
              <w:t>1</w:t>
            </w:r>
          </w:p>
        </w:tc>
        <w:tc>
          <w:tcPr>
            <w:tcW w:w="1126" w:type="pct"/>
            <w:shd w:val="clear" w:color="auto" w:fill="auto"/>
            <w:vAlign w:val="center"/>
          </w:tcPr>
          <w:p w14:paraId="6BFFB843">
            <w:pPr>
              <w:autoSpaceDE w:val="0"/>
              <w:autoSpaceDN w:val="0"/>
              <w:adjustRightInd w:val="0"/>
              <w:spacing w:line="240" w:lineRule="auto"/>
              <w:ind w:firstLine="0" w:firstLineChars="0"/>
              <w:jc w:val="center"/>
              <w:rPr>
                <w:sz w:val="21"/>
                <w:szCs w:val="21"/>
              </w:rPr>
            </w:pPr>
            <w:r>
              <w:rPr>
                <w:sz w:val="21"/>
                <w:szCs w:val="21"/>
              </w:rPr>
              <w:t>电缆分支箱</w:t>
            </w:r>
          </w:p>
        </w:tc>
      </w:tr>
      <w:tr w14:paraId="7E95DA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421" w:type="pct"/>
            <w:shd w:val="clear" w:color="auto" w:fill="auto"/>
            <w:vAlign w:val="center"/>
          </w:tcPr>
          <w:p w14:paraId="11843F2C">
            <w:pPr>
              <w:autoSpaceDE w:val="0"/>
              <w:autoSpaceDN w:val="0"/>
              <w:adjustRightInd w:val="0"/>
              <w:spacing w:line="240" w:lineRule="auto"/>
              <w:ind w:firstLine="0" w:firstLineChars="0"/>
              <w:jc w:val="center"/>
              <w:rPr>
                <w:sz w:val="21"/>
                <w:szCs w:val="21"/>
              </w:rPr>
            </w:pPr>
            <w:r>
              <w:rPr>
                <w:sz w:val="21"/>
                <w:szCs w:val="21"/>
              </w:rPr>
              <w:t>3</w:t>
            </w:r>
          </w:p>
        </w:tc>
        <w:tc>
          <w:tcPr>
            <w:tcW w:w="1012" w:type="pct"/>
            <w:shd w:val="clear" w:color="auto" w:fill="auto"/>
            <w:vAlign w:val="center"/>
          </w:tcPr>
          <w:p w14:paraId="66270EF7">
            <w:pPr>
              <w:autoSpaceDE w:val="0"/>
              <w:autoSpaceDN w:val="0"/>
              <w:adjustRightInd w:val="0"/>
              <w:spacing w:line="240" w:lineRule="auto"/>
              <w:ind w:firstLine="0" w:firstLineChars="0"/>
              <w:jc w:val="center"/>
              <w:rPr>
                <w:sz w:val="21"/>
                <w:szCs w:val="21"/>
              </w:rPr>
            </w:pPr>
            <w:r>
              <w:rPr>
                <w:sz w:val="21"/>
                <w:szCs w:val="21"/>
              </w:rPr>
              <w:t>10kV隔离开关</w:t>
            </w:r>
          </w:p>
        </w:tc>
        <w:tc>
          <w:tcPr>
            <w:tcW w:w="1516" w:type="pct"/>
            <w:shd w:val="clear" w:color="auto" w:fill="auto"/>
            <w:vAlign w:val="center"/>
          </w:tcPr>
          <w:p w14:paraId="617CC6CD">
            <w:pPr>
              <w:autoSpaceDE w:val="0"/>
              <w:autoSpaceDN w:val="0"/>
              <w:adjustRightInd w:val="0"/>
              <w:spacing w:line="240" w:lineRule="auto"/>
              <w:ind w:firstLine="0" w:firstLineChars="0"/>
              <w:jc w:val="center"/>
              <w:rPr>
                <w:sz w:val="21"/>
                <w:szCs w:val="21"/>
              </w:rPr>
            </w:pPr>
            <w:r>
              <w:rPr>
                <w:sz w:val="21"/>
                <w:szCs w:val="21"/>
              </w:rPr>
              <w:t>400A,25kA</w:t>
            </w:r>
          </w:p>
        </w:tc>
        <w:tc>
          <w:tcPr>
            <w:tcW w:w="420" w:type="pct"/>
            <w:shd w:val="clear" w:color="auto" w:fill="auto"/>
            <w:vAlign w:val="center"/>
          </w:tcPr>
          <w:p w14:paraId="168C9EAC">
            <w:pPr>
              <w:autoSpaceDE w:val="0"/>
              <w:autoSpaceDN w:val="0"/>
              <w:adjustRightInd w:val="0"/>
              <w:spacing w:line="240" w:lineRule="auto"/>
              <w:ind w:firstLine="0" w:firstLineChars="0"/>
              <w:jc w:val="center"/>
              <w:rPr>
                <w:sz w:val="21"/>
                <w:szCs w:val="21"/>
              </w:rPr>
            </w:pPr>
            <w:r>
              <w:rPr>
                <w:sz w:val="21"/>
                <w:szCs w:val="21"/>
              </w:rPr>
              <w:t>只</w:t>
            </w:r>
          </w:p>
        </w:tc>
        <w:tc>
          <w:tcPr>
            <w:tcW w:w="505" w:type="pct"/>
            <w:shd w:val="clear" w:color="auto" w:fill="auto"/>
            <w:vAlign w:val="center"/>
          </w:tcPr>
          <w:p w14:paraId="10B77C89">
            <w:pPr>
              <w:autoSpaceDE w:val="0"/>
              <w:autoSpaceDN w:val="0"/>
              <w:adjustRightInd w:val="0"/>
              <w:spacing w:line="240" w:lineRule="auto"/>
              <w:ind w:firstLine="0" w:firstLineChars="0"/>
              <w:jc w:val="center"/>
              <w:rPr>
                <w:sz w:val="21"/>
                <w:szCs w:val="21"/>
              </w:rPr>
            </w:pPr>
            <w:r>
              <w:rPr>
                <w:sz w:val="21"/>
                <w:szCs w:val="21"/>
              </w:rPr>
              <w:t>1</w:t>
            </w:r>
          </w:p>
        </w:tc>
        <w:tc>
          <w:tcPr>
            <w:tcW w:w="1126" w:type="pct"/>
            <w:shd w:val="clear" w:color="auto" w:fill="auto"/>
            <w:vAlign w:val="center"/>
          </w:tcPr>
          <w:p w14:paraId="39BA2685">
            <w:pPr>
              <w:autoSpaceDE w:val="0"/>
              <w:autoSpaceDN w:val="0"/>
              <w:adjustRightInd w:val="0"/>
              <w:spacing w:line="240" w:lineRule="auto"/>
              <w:ind w:firstLine="0" w:firstLineChars="0"/>
              <w:jc w:val="center"/>
              <w:rPr>
                <w:sz w:val="21"/>
                <w:szCs w:val="21"/>
              </w:rPr>
            </w:pPr>
            <w:r>
              <w:rPr>
                <w:sz w:val="21"/>
                <w:szCs w:val="21"/>
              </w:rPr>
              <w:t>10kV隔离开关</w:t>
            </w:r>
          </w:p>
        </w:tc>
      </w:tr>
      <w:tr w14:paraId="0B7F3E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421" w:type="pct"/>
            <w:shd w:val="clear" w:color="auto" w:fill="auto"/>
            <w:vAlign w:val="center"/>
          </w:tcPr>
          <w:p w14:paraId="43CAF6F4">
            <w:pPr>
              <w:autoSpaceDE w:val="0"/>
              <w:autoSpaceDN w:val="0"/>
              <w:adjustRightInd w:val="0"/>
              <w:spacing w:line="240" w:lineRule="auto"/>
              <w:ind w:firstLine="0" w:firstLineChars="0"/>
              <w:jc w:val="center"/>
              <w:rPr>
                <w:sz w:val="21"/>
                <w:szCs w:val="21"/>
              </w:rPr>
            </w:pPr>
            <w:r>
              <w:rPr>
                <w:sz w:val="21"/>
                <w:szCs w:val="21"/>
              </w:rPr>
              <w:t>4</w:t>
            </w:r>
          </w:p>
        </w:tc>
        <w:tc>
          <w:tcPr>
            <w:tcW w:w="1012" w:type="pct"/>
            <w:shd w:val="clear" w:color="auto" w:fill="auto"/>
            <w:vAlign w:val="center"/>
          </w:tcPr>
          <w:p w14:paraId="17B6CAE9">
            <w:pPr>
              <w:autoSpaceDE w:val="0"/>
              <w:autoSpaceDN w:val="0"/>
              <w:adjustRightInd w:val="0"/>
              <w:spacing w:line="240" w:lineRule="auto"/>
              <w:ind w:firstLine="0" w:firstLineChars="0"/>
              <w:jc w:val="center"/>
              <w:rPr>
                <w:sz w:val="21"/>
                <w:szCs w:val="21"/>
              </w:rPr>
            </w:pPr>
            <w:r>
              <w:rPr>
                <w:sz w:val="21"/>
                <w:szCs w:val="21"/>
              </w:rPr>
              <w:t>10kV避雷器</w:t>
            </w:r>
          </w:p>
        </w:tc>
        <w:tc>
          <w:tcPr>
            <w:tcW w:w="1516" w:type="pct"/>
            <w:shd w:val="clear" w:color="auto" w:fill="auto"/>
            <w:vAlign w:val="center"/>
          </w:tcPr>
          <w:p w14:paraId="38CADB36">
            <w:pPr>
              <w:autoSpaceDE w:val="0"/>
              <w:autoSpaceDN w:val="0"/>
              <w:adjustRightInd w:val="0"/>
              <w:spacing w:line="240" w:lineRule="auto"/>
              <w:ind w:firstLine="0" w:firstLineChars="0"/>
              <w:jc w:val="center"/>
              <w:rPr>
                <w:sz w:val="21"/>
                <w:szCs w:val="21"/>
              </w:rPr>
            </w:pPr>
            <w:r>
              <w:rPr>
                <w:sz w:val="21"/>
                <w:szCs w:val="21"/>
              </w:rPr>
              <w:t>17/45kV</w:t>
            </w:r>
          </w:p>
        </w:tc>
        <w:tc>
          <w:tcPr>
            <w:tcW w:w="420" w:type="pct"/>
            <w:shd w:val="clear" w:color="auto" w:fill="auto"/>
            <w:vAlign w:val="center"/>
          </w:tcPr>
          <w:p w14:paraId="3B9BA5DC">
            <w:pPr>
              <w:autoSpaceDE w:val="0"/>
              <w:autoSpaceDN w:val="0"/>
              <w:adjustRightInd w:val="0"/>
              <w:spacing w:line="240" w:lineRule="auto"/>
              <w:ind w:firstLine="0" w:firstLineChars="0"/>
              <w:jc w:val="center"/>
              <w:rPr>
                <w:sz w:val="21"/>
                <w:szCs w:val="21"/>
              </w:rPr>
            </w:pPr>
            <w:r>
              <w:rPr>
                <w:sz w:val="21"/>
                <w:szCs w:val="21"/>
              </w:rPr>
              <w:t>只</w:t>
            </w:r>
          </w:p>
        </w:tc>
        <w:tc>
          <w:tcPr>
            <w:tcW w:w="505" w:type="pct"/>
            <w:shd w:val="clear" w:color="auto" w:fill="auto"/>
            <w:vAlign w:val="center"/>
          </w:tcPr>
          <w:p w14:paraId="69A52274">
            <w:pPr>
              <w:autoSpaceDE w:val="0"/>
              <w:autoSpaceDN w:val="0"/>
              <w:adjustRightInd w:val="0"/>
              <w:spacing w:line="240" w:lineRule="auto"/>
              <w:ind w:firstLine="0" w:firstLineChars="0"/>
              <w:jc w:val="center"/>
              <w:rPr>
                <w:sz w:val="21"/>
                <w:szCs w:val="21"/>
              </w:rPr>
            </w:pPr>
            <w:r>
              <w:rPr>
                <w:sz w:val="21"/>
                <w:szCs w:val="21"/>
              </w:rPr>
              <w:t>1</w:t>
            </w:r>
          </w:p>
        </w:tc>
        <w:tc>
          <w:tcPr>
            <w:tcW w:w="1126" w:type="pct"/>
            <w:shd w:val="clear" w:color="auto" w:fill="auto"/>
            <w:vAlign w:val="center"/>
          </w:tcPr>
          <w:p w14:paraId="2FC268B4">
            <w:pPr>
              <w:autoSpaceDE w:val="0"/>
              <w:autoSpaceDN w:val="0"/>
              <w:adjustRightInd w:val="0"/>
              <w:spacing w:line="240" w:lineRule="auto"/>
              <w:ind w:firstLine="0" w:firstLineChars="0"/>
              <w:jc w:val="center"/>
              <w:rPr>
                <w:sz w:val="21"/>
                <w:szCs w:val="21"/>
              </w:rPr>
            </w:pPr>
            <w:r>
              <w:rPr>
                <w:sz w:val="21"/>
                <w:szCs w:val="21"/>
              </w:rPr>
              <w:t>10kV避雷器</w:t>
            </w:r>
          </w:p>
        </w:tc>
      </w:tr>
      <w:tr w14:paraId="3F832D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421" w:type="pct"/>
            <w:shd w:val="clear" w:color="auto" w:fill="auto"/>
            <w:vAlign w:val="center"/>
          </w:tcPr>
          <w:p w14:paraId="04514D9C">
            <w:pPr>
              <w:autoSpaceDE w:val="0"/>
              <w:autoSpaceDN w:val="0"/>
              <w:adjustRightInd w:val="0"/>
              <w:spacing w:line="240" w:lineRule="auto"/>
              <w:ind w:firstLine="0" w:firstLineChars="0"/>
              <w:jc w:val="center"/>
              <w:rPr>
                <w:sz w:val="21"/>
                <w:szCs w:val="21"/>
              </w:rPr>
            </w:pPr>
            <w:r>
              <w:rPr>
                <w:sz w:val="21"/>
                <w:szCs w:val="21"/>
              </w:rPr>
              <w:t>5</w:t>
            </w:r>
          </w:p>
        </w:tc>
        <w:tc>
          <w:tcPr>
            <w:tcW w:w="1012" w:type="pct"/>
            <w:shd w:val="clear" w:color="auto" w:fill="auto"/>
            <w:vAlign w:val="center"/>
          </w:tcPr>
          <w:p w14:paraId="7873124A">
            <w:pPr>
              <w:autoSpaceDE w:val="0"/>
              <w:autoSpaceDN w:val="0"/>
              <w:adjustRightInd w:val="0"/>
              <w:spacing w:line="240" w:lineRule="auto"/>
              <w:ind w:firstLine="0" w:firstLineChars="0"/>
              <w:jc w:val="center"/>
              <w:rPr>
                <w:sz w:val="21"/>
                <w:szCs w:val="21"/>
              </w:rPr>
            </w:pPr>
            <w:r>
              <w:rPr>
                <w:sz w:val="21"/>
                <w:szCs w:val="21"/>
              </w:rPr>
              <w:t>热镀锌槽钢</w:t>
            </w:r>
          </w:p>
        </w:tc>
        <w:tc>
          <w:tcPr>
            <w:tcW w:w="1516" w:type="pct"/>
            <w:shd w:val="clear" w:color="auto" w:fill="auto"/>
            <w:vAlign w:val="center"/>
          </w:tcPr>
          <w:p w14:paraId="1668813C">
            <w:pPr>
              <w:autoSpaceDE w:val="0"/>
              <w:autoSpaceDN w:val="0"/>
              <w:adjustRightInd w:val="0"/>
              <w:spacing w:line="240" w:lineRule="auto"/>
              <w:ind w:firstLine="0" w:firstLineChars="0"/>
              <w:jc w:val="center"/>
              <w:rPr>
                <w:sz w:val="21"/>
                <w:szCs w:val="21"/>
              </w:rPr>
            </w:pPr>
            <w:r>
              <w:rPr>
                <w:sz w:val="21"/>
                <w:szCs w:val="21"/>
              </w:rPr>
              <w:t>C10</w:t>
            </w:r>
          </w:p>
        </w:tc>
        <w:tc>
          <w:tcPr>
            <w:tcW w:w="420" w:type="pct"/>
            <w:shd w:val="clear" w:color="auto" w:fill="auto"/>
            <w:vAlign w:val="center"/>
          </w:tcPr>
          <w:p w14:paraId="34050AFA">
            <w:pPr>
              <w:autoSpaceDE w:val="0"/>
              <w:autoSpaceDN w:val="0"/>
              <w:adjustRightInd w:val="0"/>
              <w:spacing w:line="240" w:lineRule="auto"/>
              <w:ind w:firstLine="0" w:firstLineChars="0"/>
              <w:jc w:val="center"/>
              <w:rPr>
                <w:sz w:val="21"/>
                <w:szCs w:val="21"/>
              </w:rPr>
            </w:pPr>
            <w:r>
              <w:rPr>
                <w:sz w:val="21"/>
                <w:szCs w:val="21"/>
              </w:rPr>
              <w:t>m</w:t>
            </w:r>
          </w:p>
        </w:tc>
        <w:tc>
          <w:tcPr>
            <w:tcW w:w="505" w:type="pct"/>
            <w:shd w:val="clear" w:color="auto" w:fill="auto"/>
            <w:vAlign w:val="center"/>
          </w:tcPr>
          <w:p w14:paraId="43A3818F">
            <w:pPr>
              <w:autoSpaceDE w:val="0"/>
              <w:autoSpaceDN w:val="0"/>
              <w:adjustRightInd w:val="0"/>
              <w:spacing w:line="240" w:lineRule="auto"/>
              <w:ind w:firstLine="0" w:firstLineChars="0"/>
              <w:jc w:val="center"/>
              <w:rPr>
                <w:sz w:val="21"/>
                <w:szCs w:val="21"/>
              </w:rPr>
            </w:pPr>
            <w:r>
              <w:rPr>
                <w:sz w:val="21"/>
                <w:szCs w:val="21"/>
              </w:rPr>
              <w:t>100</w:t>
            </w:r>
          </w:p>
        </w:tc>
        <w:tc>
          <w:tcPr>
            <w:tcW w:w="1126" w:type="pct"/>
            <w:shd w:val="clear" w:color="auto" w:fill="auto"/>
            <w:vAlign w:val="center"/>
          </w:tcPr>
          <w:p w14:paraId="3073983F">
            <w:pPr>
              <w:autoSpaceDE w:val="0"/>
              <w:autoSpaceDN w:val="0"/>
              <w:adjustRightInd w:val="0"/>
              <w:spacing w:line="240" w:lineRule="auto"/>
              <w:ind w:firstLine="0" w:firstLineChars="0"/>
              <w:jc w:val="center"/>
              <w:rPr>
                <w:sz w:val="21"/>
                <w:szCs w:val="21"/>
              </w:rPr>
            </w:pPr>
            <w:r>
              <w:rPr>
                <w:sz w:val="21"/>
                <w:szCs w:val="21"/>
              </w:rPr>
              <w:t>热镀锌槽钢</w:t>
            </w:r>
          </w:p>
        </w:tc>
      </w:tr>
    </w:tbl>
    <w:p w14:paraId="10D14732">
      <w:pPr>
        <w:adjustRightInd w:val="0"/>
        <w:spacing w:line="360" w:lineRule="auto"/>
        <w:ind w:firstLine="480"/>
      </w:pPr>
    </w:p>
    <w:p w14:paraId="29523975">
      <w:pPr>
        <w:pStyle w:val="74"/>
        <w:numPr>
          <w:ilvl w:val="0"/>
          <w:numId w:val="19"/>
        </w:numPr>
        <w:ind w:firstLineChars="0"/>
      </w:pPr>
      <w:r>
        <w:rPr>
          <w:rFonts w:hint="eastAsia"/>
        </w:rPr>
        <w:t>施工现场区设置电缆分支箱，采用直埋电缆供电方式。施工现场的电缆分支箱电源计划分三路馈线，定向钻专用容量共1600kVA，厂区施工容量为400kVA，施工箱变具体位置和电缆路由布设由招标人根据实际情况决定。1台400kVA、2台800kVA箱变采购、安装由</w:t>
      </w:r>
      <w:r>
        <w:rPr>
          <w:rFonts w:hint="eastAsia"/>
          <w:lang w:eastAsia="zh-CN"/>
        </w:rPr>
        <w:t>投标人</w:t>
      </w:r>
      <w:r>
        <w:rPr>
          <w:rFonts w:hint="eastAsia"/>
        </w:rPr>
        <w:t>负责。</w:t>
      </w:r>
      <w:r>
        <w:rPr>
          <w:rFonts w:hint="eastAsia"/>
          <w:lang w:eastAsia="zh-CN"/>
        </w:rPr>
        <w:t>投标人</w:t>
      </w:r>
      <w:r>
        <w:rPr>
          <w:rFonts w:hint="eastAsia"/>
        </w:rPr>
        <w:t>应根据地方政府要求提供箱变能源评价报告。</w:t>
      </w:r>
    </w:p>
    <w:p w14:paraId="7DC7F7F3">
      <w:pPr>
        <w:numPr>
          <w:ilvl w:val="0"/>
          <w:numId w:val="19"/>
        </w:numPr>
        <w:adjustRightInd w:val="0"/>
        <w:spacing w:line="360" w:lineRule="auto"/>
        <w:ind w:firstLine="480"/>
        <w:textAlignment w:val="baseline"/>
      </w:pPr>
      <w:r>
        <w:t>施工现场采用电缆分支箱，放置在施工箱变布设点附近，电缆分支箱含母线，避雷器，负荷开关，电缆头等，防护等级不低于IP54。本标段</w:t>
      </w:r>
      <w:r>
        <w:rPr>
          <w:rFonts w:hint="eastAsia"/>
          <w:lang w:eastAsia="zh-CN"/>
        </w:rPr>
        <w:t>投标人</w:t>
      </w:r>
      <w:r>
        <w:t>负责将10kV电缆敷设到电缆分支箱并完成接线、试验工作。分界点在箱式变电站变压器高压进线桩头，10kV开关柜至电缆分支箱，电缆分支箱到箱式变电站变压器高压进线桩头的电缆及接线施工由本标段</w:t>
      </w:r>
      <w:r>
        <w:rPr>
          <w:rFonts w:hint="eastAsia"/>
          <w:lang w:eastAsia="zh-CN"/>
        </w:rPr>
        <w:t>投标人</w:t>
      </w:r>
      <w:r>
        <w:t>负责，电缆为3x70规格（</w:t>
      </w:r>
      <w:r>
        <w:rPr>
          <w:rFonts w:hint="eastAsia"/>
          <w:lang w:eastAsia="zh-CN"/>
        </w:rPr>
        <w:t>投标人</w:t>
      </w:r>
      <w:r>
        <w:t>提供）。</w:t>
      </w:r>
    </w:p>
    <w:p w14:paraId="7A60F67F">
      <w:pPr>
        <w:numPr>
          <w:ilvl w:val="0"/>
          <w:numId w:val="19"/>
        </w:numPr>
        <w:adjustRightInd w:val="0"/>
        <w:spacing w:line="360" w:lineRule="auto"/>
        <w:ind w:firstLine="480"/>
        <w:textAlignment w:val="baseline"/>
      </w:pPr>
      <w:r>
        <w:t>在核定的施工箱变布设点完成3处箱式变电站安装的基础及围栏（含箱变相关指示和警示标识）的建设。</w:t>
      </w:r>
    </w:p>
    <w:p w14:paraId="6597FAA0">
      <w:pPr>
        <w:numPr>
          <w:ilvl w:val="0"/>
          <w:numId w:val="19"/>
        </w:numPr>
        <w:adjustRightInd w:val="0"/>
        <w:spacing w:line="360" w:lineRule="auto"/>
        <w:ind w:firstLine="480"/>
        <w:textAlignment w:val="baseline"/>
      </w:pPr>
      <w:r>
        <w:t>箱式变基础结构形式详见下图样式，单个箱变基础平面尺寸不大于10m×6m，砖混结构，配周界防护围栏，样式符合招标人《基建安全文明施工标准化图集》。箱变基础制作工作包含箱变所需的接地网按规范敷设。</w:t>
      </w:r>
    </w:p>
    <w:p w14:paraId="68F3B4C1">
      <w:pPr>
        <w:adjustRightInd w:val="0"/>
        <w:spacing w:line="360" w:lineRule="auto"/>
        <w:ind w:firstLine="480"/>
        <w:jc w:val="center"/>
        <w:textAlignment w:val="baseline"/>
      </w:pPr>
      <w:r>
        <w:t>表</w:t>
      </w:r>
      <w:r>
        <w:rPr>
          <w:rFonts w:hint="eastAsia"/>
          <w:lang w:val="en-US" w:eastAsia="zh-CN"/>
        </w:rPr>
        <w:t>5.6.2-</w:t>
      </w:r>
      <w:r>
        <w:t>2 电气设备材料清册（电网接线部分）</w:t>
      </w:r>
    </w:p>
    <w:tbl>
      <w:tblPr>
        <w:tblStyle w:val="28"/>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960"/>
        <w:gridCol w:w="1759"/>
        <w:gridCol w:w="3213"/>
        <w:gridCol w:w="869"/>
        <w:gridCol w:w="981"/>
        <w:gridCol w:w="1504"/>
      </w:tblGrid>
      <w:tr w14:paraId="1DC2BB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tblHeader/>
          <w:jc w:val="center"/>
        </w:trPr>
        <w:tc>
          <w:tcPr>
            <w:tcW w:w="517" w:type="pct"/>
            <w:shd w:val="clear" w:color="auto" w:fill="auto"/>
            <w:vAlign w:val="center"/>
          </w:tcPr>
          <w:p w14:paraId="622C6175">
            <w:pPr>
              <w:adjustRightInd w:val="0"/>
              <w:spacing w:line="240" w:lineRule="auto"/>
              <w:ind w:firstLine="0" w:firstLineChars="0"/>
              <w:jc w:val="center"/>
              <w:rPr>
                <w:sz w:val="21"/>
                <w:szCs w:val="21"/>
              </w:rPr>
            </w:pPr>
            <w:r>
              <w:rPr>
                <w:sz w:val="21"/>
                <w:szCs w:val="21"/>
              </w:rPr>
              <w:t>序号</w:t>
            </w:r>
          </w:p>
        </w:tc>
        <w:tc>
          <w:tcPr>
            <w:tcW w:w="947" w:type="pct"/>
            <w:shd w:val="clear" w:color="auto" w:fill="auto"/>
            <w:vAlign w:val="center"/>
          </w:tcPr>
          <w:p w14:paraId="340829B6">
            <w:pPr>
              <w:adjustRightInd w:val="0"/>
              <w:spacing w:line="240" w:lineRule="auto"/>
              <w:ind w:firstLine="0" w:firstLineChars="0"/>
              <w:jc w:val="center"/>
              <w:rPr>
                <w:sz w:val="21"/>
                <w:szCs w:val="21"/>
              </w:rPr>
            </w:pPr>
            <w:r>
              <w:rPr>
                <w:sz w:val="21"/>
                <w:szCs w:val="21"/>
              </w:rPr>
              <w:t>设备名称</w:t>
            </w:r>
          </w:p>
        </w:tc>
        <w:tc>
          <w:tcPr>
            <w:tcW w:w="1730" w:type="pct"/>
            <w:shd w:val="clear" w:color="auto" w:fill="auto"/>
            <w:vAlign w:val="center"/>
          </w:tcPr>
          <w:p w14:paraId="17B6A998">
            <w:pPr>
              <w:adjustRightInd w:val="0"/>
              <w:spacing w:line="240" w:lineRule="auto"/>
              <w:ind w:firstLine="0" w:firstLineChars="0"/>
              <w:jc w:val="center"/>
              <w:rPr>
                <w:sz w:val="21"/>
                <w:szCs w:val="21"/>
              </w:rPr>
            </w:pPr>
            <w:r>
              <w:rPr>
                <w:sz w:val="21"/>
                <w:szCs w:val="21"/>
              </w:rPr>
              <w:t>技   术   规   范</w:t>
            </w:r>
          </w:p>
        </w:tc>
        <w:tc>
          <w:tcPr>
            <w:tcW w:w="468" w:type="pct"/>
            <w:shd w:val="clear" w:color="auto" w:fill="auto"/>
            <w:vAlign w:val="center"/>
          </w:tcPr>
          <w:p w14:paraId="1F3F9D59">
            <w:pPr>
              <w:adjustRightInd w:val="0"/>
              <w:spacing w:line="240" w:lineRule="auto"/>
              <w:ind w:firstLine="0" w:firstLineChars="0"/>
              <w:jc w:val="center"/>
              <w:rPr>
                <w:sz w:val="21"/>
                <w:szCs w:val="21"/>
              </w:rPr>
            </w:pPr>
            <w:r>
              <w:rPr>
                <w:sz w:val="21"/>
                <w:szCs w:val="21"/>
              </w:rPr>
              <w:t>单位</w:t>
            </w:r>
          </w:p>
        </w:tc>
        <w:tc>
          <w:tcPr>
            <w:tcW w:w="528" w:type="pct"/>
            <w:shd w:val="clear" w:color="auto" w:fill="auto"/>
            <w:vAlign w:val="center"/>
          </w:tcPr>
          <w:p w14:paraId="64A74CF9">
            <w:pPr>
              <w:adjustRightInd w:val="0"/>
              <w:spacing w:line="240" w:lineRule="auto"/>
              <w:ind w:firstLine="0" w:firstLineChars="0"/>
              <w:jc w:val="center"/>
              <w:rPr>
                <w:sz w:val="21"/>
                <w:szCs w:val="21"/>
              </w:rPr>
            </w:pPr>
            <w:r>
              <w:rPr>
                <w:sz w:val="21"/>
                <w:szCs w:val="21"/>
              </w:rPr>
              <w:t>数量</w:t>
            </w:r>
          </w:p>
        </w:tc>
        <w:tc>
          <w:tcPr>
            <w:tcW w:w="810" w:type="pct"/>
            <w:shd w:val="clear" w:color="auto" w:fill="auto"/>
            <w:vAlign w:val="center"/>
          </w:tcPr>
          <w:p w14:paraId="0A60E41B">
            <w:pPr>
              <w:adjustRightInd w:val="0"/>
              <w:spacing w:line="240" w:lineRule="auto"/>
              <w:ind w:firstLine="0" w:firstLineChars="0"/>
              <w:jc w:val="center"/>
              <w:rPr>
                <w:sz w:val="21"/>
                <w:szCs w:val="21"/>
              </w:rPr>
            </w:pPr>
            <w:r>
              <w:rPr>
                <w:sz w:val="21"/>
                <w:szCs w:val="21"/>
              </w:rPr>
              <w:t>备 注</w:t>
            </w:r>
          </w:p>
        </w:tc>
      </w:tr>
      <w:tr w14:paraId="79BDF2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517" w:type="pct"/>
            <w:vAlign w:val="center"/>
          </w:tcPr>
          <w:p w14:paraId="6BFF09BC">
            <w:pPr>
              <w:autoSpaceDE w:val="0"/>
              <w:autoSpaceDN w:val="0"/>
              <w:adjustRightInd w:val="0"/>
              <w:spacing w:line="240" w:lineRule="auto"/>
              <w:ind w:firstLine="0" w:firstLineChars="0"/>
              <w:jc w:val="center"/>
              <w:rPr>
                <w:sz w:val="21"/>
                <w:szCs w:val="21"/>
              </w:rPr>
            </w:pPr>
            <w:r>
              <w:rPr>
                <w:sz w:val="21"/>
                <w:szCs w:val="21"/>
              </w:rPr>
              <w:t>二</w:t>
            </w:r>
          </w:p>
        </w:tc>
        <w:tc>
          <w:tcPr>
            <w:tcW w:w="947" w:type="pct"/>
            <w:vAlign w:val="center"/>
          </w:tcPr>
          <w:p w14:paraId="5028BDF2">
            <w:pPr>
              <w:autoSpaceDE w:val="0"/>
              <w:autoSpaceDN w:val="0"/>
              <w:adjustRightInd w:val="0"/>
              <w:spacing w:line="240" w:lineRule="auto"/>
              <w:ind w:firstLine="0" w:firstLineChars="0"/>
              <w:jc w:val="center"/>
              <w:rPr>
                <w:sz w:val="21"/>
                <w:szCs w:val="21"/>
              </w:rPr>
            </w:pPr>
          </w:p>
        </w:tc>
        <w:tc>
          <w:tcPr>
            <w:tcW w:w="1730" w:type="pct"/>
            <w:vAlign w:val="center"/>
          </w:tcPr>
          <w:p w14:paraId="0E8185B7">
            <w:pPr>
              <w:autoSpaceDE w:val="0"/>
              <w:autoSpaceDN w:val="0"/>
              <w:adjustRightInd w:val="0"/>
              <w:spacing w:line="240" w:lineRule="auto"/>
              <w:ind w:firstLine="0" w:firstLineChars="0"/>
              <w:jc w:val="center"/>
              <w:rPr>
                <w:sz w:val="21"/>
                <w:szCs w:val="21"/>
              </w:rPr>
            </w:pPr>
          </w:p>
        </w:tc>
        <w:tc>
          <w:tcPr>
            <w:tcW w:w="468" w:type="pct"/>
            <w:vAlign w:val="center"/>
          </w:tcPr>
          <w:p w14:paraId="5BAA1875">
            <w:pPr>
              <w:autoSpaceDE w:val="0"/>
              <w:autoSpaceDN w:val="0"/>
              <w:adjustRightInd w:val="0"/>
              <w:spacing w:line="240" w:lineRule="auto"/>
              <w:ind w:firstLine="0" w:firstLineChars="0"/>
              <w:jc w:val="center"/>
              <w:rPr>
                <w:sz w:val="21"/>
                <w:szCs w:val="21"/>
              </w:rPr>
            </w:pPr>
          </w:p>
        </w:tc>
        <w:tc>
          <w:tcPr>
            <w:tcW w:w="528" w:type="pct"/>
            <w:vAlign w:val="center"/>
          </w:tcPr>
          <w:p w14:paraId="0037EC70">
            <w:pPr>
              <w:adjustRightInd w:val="0"/>
              <w:spacing w:line="240" w:lineRule="auto"/>
              <w:ind w:firstLine="0" w:firstLineChars="0"/>
              <w:jc w:val="center"/>
              <w:rPr>
                <w:sz w:val="21"/>
                <w:szCs w:val="21"/>
              </w:rPr>
            </w:pPr>
          </w:p>
        </w:tc>
        <w:tc>
          <w:tcPr>
            <w:tcW w:w="810" w:type="pct"/>
            <w:vAlign w:val="center"/>
          </w:tcPr>
          <w:p w14:paraId="000D41BE">
            <w:pPr>
              <w:adjustRightInd w:val="0"/>
              <w:spacing w:line="240" w:lineRule="auto"/>
              <w:ind w:firstLine="0" w:firstLineChars="0"/>
              <w:jc w:val="center"/>
              <w:rPr>
                <w:sz w:val="21"/>
                <w:szCs w:val="21"/>
              </w:rPr>
            </w:pPr>
          </w:p>
        </w:tc>
      </w:tr>
      <w:tr w14:paraId="7C6D8A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517" w:type="pct"/>
            <w:vAlign w:val="center"/>
          </w:tcPr>
          <w:p w14:paraId="4B559DC5">
            <w:pPr>
              <w:autoSpaceDE w:val="0"/>
              <w:autoSpaceDN w:val="0"/>
              <w:adjustRightInd w:val="0"/>
              <w:spacing w:line="240" w:lineRule="auto"/>
              <w:ind w:firstLine="0" w:firstLineChars="0"/>
              <w:jc w:val="center"/>
              <w:rPr>
                <w:sz w:val="21"/>
                <w:szCs w:val="21"/>
              </w:rPr>
            </w:pPr>
            <w:r>
              <w:rPr>
                <w:sz w:val="21"/>
                <w:szCs w:val="21"/>
              </w:rPr>
              <w:t>1</w:t>
            </w:r>
          </w:p>
        </w:tc>
        <w:tc>
          <w:tcPr>
            <w:tcW w:w="947" w:type="pct"/>
            <w:vAlign w:val="center"/>
          </w:tcPr>
          <w:p w14:paraId="6A5429D5">
            <w:pPr>
              <w:autoSpaceDE w:val="0"/>
              <w:autoSpaceDN w:val="0"/>
              <w:adjustRightInd w:val="0"/>
              <w:spacing w:line="240" w:lineRule="auto"/>
              <w:ind w:firstLine="0" w:firstLineChars="0"/>
              <w:jc w:val="center"/>
              <w:rPr>
                <w:sz w:val="21"/>
                <w:szCs w:val="21"/>
              </w:rPr>
            </w:pPr>
            <w:r>
              <w:rPr>
                <w:sz w:val="21"/>
                <w:szCs w:val="21"/>
              </w:rPr>
              <w:t>中压电力电缆</w:t>
            </w:r>
          </w:p>
        </w:tc>
        <w:tc>
          <w:tcPr>
            <w:tcW w:w="1730" w:type="pct"/>
            <w:vAlign w:val="center"/>
          </w:tcPr>
          <w:p w14:paraId="6443CA27">
            <w:pPr>
              <w:autoSpaceDE w:val="0"/>
              <w:autoSpaceDN w:val="0"/>
              <w:adjustRightInd w:val="0"/>
              <w:spacing w:line="240" w:lineRule="auto"/>
              <w:ind w:firstLine="0" w:firstLineChars="0"/>
              <w:jc w:val="center"/>
              <w:rPr>
                <w:sz w:val="21"/>
                <w:szCs w:val="21"/>
              </w:rPr>
            </w:pPr>
            <w:r>
              <w:rPr>
                <w:sz w:val="21"/>
                <w:szCs w:val="21"/>
              </w:rPr>
              <w:t>XLPE绝缘，阻燃或耐火PVC护套，铜芯，钢带铠装，ZR－YJV22－8.7/10 3x70</w:t>
            </w:r>
          </w:p>
        </w:tc>
        <w:tc>
          <w:tcPr>
            <w:tcW w:w="468" w:type="pct"/>
            <w:vAlign w:val="center"/>
          </w:tcPr>
          <w:p w14:paraId="643BDE42">
            <w:pPr>
              <w:autoSpaceDE w:val="0"/>
              <w:autoSpaceDN w:val="0"/>
              <w:adjustRightInd w:val="0"/>
              <w:spacing w:line="240" w:lineRule="auto"/>
              <w:ind w:firstLine="0" w:firstLineChars="0"/>
              <w:jc w:val="center"/>
              <w:rPr>
                <w:sz w:val="21"/>
                <w:szCs w:val="21"/>
              </w:rPr>
            </w:pPr>
            <w:r>
              <w:rPr>
                <w:sz w:val="21"/>
                <w:szCs w:val="21"/>
              </w:rPr>
              <w:t>m</w:t>
            </w:r>
          </w:p>
        </w:tc>
        <w:tc>
          <w:tcPr>
            <w:tcW w:w="528" w:type="pct"/>
            <w:vAlign w:val="center"/>
          </w:tcPr>
          <w:p w14:paraId="317F659E">
            <w:pPr>
              <w:autoSpaceDE w:val="0"/>
              <w:autoSpaceDN w:val="0"/>
              <w:adjustRightInd w:val="0"/>
              <w:spacing w:line="240" w:lineRule="auto"/>
              <w:ind w:firstLine="0" w:firstLineChars="0"/>
              <w:jc w:val="center"/>
              <w:rPr>
                <w:sz w:val="21"/>
                <w:szCs w:val="21"/>
              </w:rPr>
            </w:pPr>
            <w:r>
              <w:rPr>
                <w:sz w:val="21"/>
                <w:szCs w:val="21"/>
              </w:rPr>
              <w:t>8</w:t>
            </w:r>
            <w:r>
              <w:rPr>
                <w:rFonts w:hint="eastAsia"/>
                <w:sz w:val="21"/>
                <w:szCs w:val="21"/>
              </w:rPr>
              <w:t>5</w:t>
            </w:r>
            <w:r>
              <w:rPr>
                <w:sz w:val="21"/>
                <w:szCs w:val="21"/>
              </w:rPr>
              <w:t>0</w:t>
            </w:r>
          </w:p>
        </w:tc>
        <w:tc>
          <w:tcPr>
            <w:tcW w:w="810" w:type="pct"/>
            <w:vAlign w:val="center"/>
          </w:tcPr>
          <w:p w14:paraId="7DFFC66F">
            <w:pPr>
              <w:autoSpaceDE w:val="0"/>
              <w:autoSpaceDN w:val="0"/>
              <w:adjustRightInd w:val="0"/>
              <w:spacing w:line="240" w:lineRule="auto"/>
              <w:ind w:firstLine="0" w:firstLineChars="0"/>
              <w:jc w:val="center"/>
              <w:rPr>
                <w:sz w:val="21"/>
                <w:szCs w:val="21"/>
              </w:rPr>
            </w:pPr>
            <w:r>
              <w:rPr>
                <w:sz w:val="21"/>
                <w:szCs w:val="21"/>
              </w:rPr>
              <w:t>直埋敷设，一现场实际敷设长度为准</w:t>
            </w:r>
          </w:p>
        </w:tc>
      </w:tr>
      <w:tr w14:paraId="4BD218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517" w:type="pct"/>
            <w:vAlign w:val="center"/>
          </w:tcPr>
          <w:p w14:paraId="015185BA">
            <w:pPr>
              <w:autoSpaceDE w:val="0"/>
              <w:autoSpaceDN w:val="0"/>
              <w:adjustRightInd w:val="0"/>
              <w:spacing w:line="240" w:lineRule="auto"/>
              <w:ind w:firstLine="0" w:firstLineChars="0"/>
              <w:jc w:val="center"/>
              <w:rPr>
                <w:sz w:val="21"/>
                <w:szCs w:val="21"/>
              </w:rPr>
            </w:pPr>
            <w:r>
              <w:rPr>
                <w:sz w:val="21"/>
                <w:szCs w:val="21"/>
              </w:rPr>
              <w:t>2</w:t>
            </w:r>
          </w:p>
        </w:tc>
        <w:tc>
          <w:tcPr>
            <w:tcW w:w="947" w:type="pct"/>
            <w:vAlign w:val="center"/>
          </w:tcPr>
          <w:p w14:paraId="4A6AC4A7">
            <w:pPr>
              <w:autoSpaceDE w:val="0"/>
              <w:autoSpaceDN w:val="0"/>
              <w:adjustRightInd w:val="0"/>
              <w:spacing w:line="240" w:lineRule="auto"/>
              <w:ind w:firstLine="0" w:firstLineChars="0"/>
              <w:jc w:val="center"/>
              <w:rPr>
                <w:sz w:val="21"/>
                <w:szCs w:val="21"/>
              </w:rPr>
            </w:pPr>
            <w:r>
              <w:rPr>
                <w:sz w:val="21"/>
                <w:szCs w:val="21"/>
              </w:rPr>
              <w:t>中压电缆冷缩终端</w:t>
            </w:r>
          </w:p>
        </w:tc>
        <w:tc>
          <w:tcPr>
            <w:tcW w:w="1730" w:type="pct"/>
            <w:vAlign w:val="center"/>
          </w:tcPr>
          <w:p w14:paraId="5DEB568D">
            <w:pPr>
              <w:autoSpaceDE w:val="0"/>
              <w:autoSpaceDN w:val="0"/>
              <w:adjustRightInd w:val="0"/>
              <w:spacing w:line="240" w:lineRule="auto"/>
              <w:ind w:firstLine="0" w:firstLineChars="0"/>
              <w:jc w:val="center"/>
              <w:rPr>
                <w:sz w:val="21"/>
                <w:szCs w:val="21"/>
              </w:rPr>
            </w:pPr>
            <w:r>
              <w:rPr>
                <w:sz w:val="21"/>
                <w:szCs w:val="21"/>
              </w:rPr>
              <w:t>适用于ZR－YJV22－8.7/10 3x70（三相）</w:t>
            </w:r>
          </w:p>
        </w:tc>
        <w:tc>
          <w:tcPr>
            <w:tcW w:w="468" w:type="pct"/>
            <w:vAlign w:val="center"/>
          </w:tcPr>
          <w:p w14:paraId="0E58BDD9">
            <w:pPr>
              <w:autoSpaceDE w:val="0"/>
              <w:autoSpaceDN w:val="0"/>
              <w:adjustRightInd w:val="0"/>
              <w:spacing w:line="240" w:lineRule="auto"/>
              <w:ind w:firstLine="0" w:firstLineChars="0"/>
              <w:jc w:val="center"/>
              <w:rPr>
                <w:sz w:val="21"/>
                <w:szCs w:val="21"/>
              </w:rPr>
            </w:pPr>
            <w:r>
              <w:rPr>
                <w:sz w:val="21"/>
                <w:szCs w:val="21"/>
              </w:rPr>
              <w:t>套</w:t>
            </w:r>
          </w:p>
        </w:tc>
        <w:tc>
          <w:tcPr>
            <w:tcW w:w="528" w:type="pct"/>
            <w:vAlign w:val="center"/>
          </w:tcPr>
          <w:p w14:paraId="5CE24847">
            <w:pPr>
              <w:autoSpaceDE w:val="0"/>
              <w:autoSpaceDN w:val="0"/>
              <w:adjustRightInd w:val="0"/>
              <w:spacing w:line="240" w:lineRule="auto"/>
              <w:ind w:firstLine="0" w:firstLineChars="0"/>
              <w:jc w:val="center"/>
              <w:rPr>
                <w:sz w:val="21"/>
                <w:szCs w:val="21"/>
              </w:rPr>
            </w:pPr>
            <w:r>
              <w:rPr>
                <w:rFonts w:hint="eastAsia"/>
                <w:sz w:val="21"/>
                <w:szCs w:val="21"/>
              </w:rPr>
              <w:t>10</w:t>
            </w:r>
          </w:p>
        </w:tc>
        <w:tc>
          <w:tcPr>
            <w:tcW w:w="810" w:type="pct"/>
            <w:vAlign w:val="center"/>
          </w:tcPr>
          <w:p w14:paraId="56FCE6C6">
            <w:pPr>
              <w:autoSpaceDE w:val="0"/>
              <w:autoSpaceDN w:val="0"/>
              <w:adjustRightInd w:val="0"/>
              <w:spacing w:line="240" w:lineRule="auto"/>
              <w:ind w:firstLine="0" w:firstLineChars="0"/>
              <w:jc w:val="center"/>
              <w:rPr>
                <w:sz w:val="21"/>
                <w:szCs w:val="21"/>
              </w:rPr>
            </w:pPr>
          </w:p>
        </w:tc>
      </w:tr>
      <w:tr w14:paraId="67EF8B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517" w:type="pct"/>
            <w:vAlign w:val="center"/>
          </w:tcPr>
          <w:p w14:paraId="3BA4C5BB">
            <w:pPr>
              <w:autoSpaceDE w:val="0"/>
              <w:autoSpaceDN w:val="0"/>
              <w:adjustRightInd w:val="0"/>
              <w:spacing w:line="240" w:lineRule="auto"/>
              <w:ind w:firstLine="0" w:firstLineChars="0"/>
              <w:jc w:val="center"/>
              <w:rPr>
                <w:sz w:val="21"/>
                <w:szCs w:val="21"/>
              </w:rPr>
            </w:pPr>
            <w:r>
              <w:rPr>
                <w:sz w:val="21"/>
                <w:szCs w:val="21"/>
              </w:rPr>
              <w:t>3</w:t>
            </w:r>
          </w:p>
        </w:tc>
        <w:tc>
          <w:tcPr>
            <w:tcW w:w="947" w:type="pct"/>
            <w:vAlign w:val="center"/>
          </w:tcPr>
          <w:p w14:paraId="63A45691">
            <w:pPr>
              <w:autoSpaceDE w:val="0"/>
              <w:autoSpaceDN w:val="0"/>
              <w:adjustRightInd w:val="0"/>
              <w:spacing w:line="240" w:lineRule="auto"/>
              <w:ind w:firstLine="0" w:firstLineChars="0"/>
              <w:jc w:val="center"/>
              <w:rPr>
                <w:sz w:val="21"/>
                <w:szCs w:val="21"/>
              </w:rPr>
            </w:pPr>
            <w:r>
              <w:rPr>
                <w:sz w:val="21"/>
                <w:szCs w:val="21"/>
              </w:rPr>
              <w:t>热镀锌钢管</w:t>
            </w:r>
          </w:p>
        </w:tc>
        <w:tc>
          <w:tcPr>
            <w:tcW w:w="1730" w:type="pct"/>
            <w:vAlign w:val="center"/>
          </w:tcPr>
          <w:p w14:paraId="3AA2C3CC">
            <w:pPr>
              <w:autoSpaceDE w:val="0"/>
              <w:autoSpaceDN w:val="0"/>
              <w:adjustRightInd w:val="0"/>
              <w:spacing w:line="240" w:lineRule="auto"/>
              <w:ind w:firstLine="0" w:firstLineChars="0"/>
              <w:jc w:val="center"/>
              <w:rPr>
                <w:sz w:val="21"/>
                <w:szCs w:val="21"/>
              </w:rPr>
            </w:pPr>
            <w:r>
              <w:rPr>
                <w:sz w:val="21"/>
                <w:szCs w:val="21"/>
              </w:rPr>
              <w:t>DN125</w:t>
            </w:r>
          </w:p>
        </w:tc>
        <w:tc>
          <w:tcPr>
            <w:tcW w:w="468" w:type="pct"/>
            <w:vAlign w:val="center"/>
          </w:tcPr>
          <w:p w14:paraId="0995CA9D">
            <w:pPr>
              <w:autoSpaceDE w:val="0"/>
              <w:autoSpaceDN w:val="0"/>
              <w:adjustRightInd w:val="0"/>
              <w:spacing w:line="240" w:lineRule="auto"/>
              <w:ind w:firstLine="0" w:firstLineChars="0"/>
              <w:jc w:val="center"/>
              <w:rPr>
                <w:sz w:val="21"/>
                <w:szCs w:val="21"/>
              </w:rPr>
            </w:pPr>
            <w:r>
              <w:rPr>
                <w:sz w:val="21"/>
                <w:szCs w:val="21"/>
              </w:rPr>
              <w:t>m</w:t>
            </w:r>
          </w:p>
        </w:tc>
        <w:tc>
          <w:tcPr>
            <w:tcW w:w="528" w:type="pct"/>
            <w:vAlign w:val="center"/>
          </w:tcPr>
          <w:p w14:paraId="59B3F290">
            <w:pPr>
              <w:autoSpaceDE w:val="0"/>
              <w:autoSpaceDN w:val="0"/>
              <w:adjustRightInd w:val="0"/>
              <w:spacing w:line="240" w:lineRule="auto"/>
              <w:ind w:firstLine="0" w:firstLineChars="0"/>
              <w:jc w:val="center"/>
              <w:rPr>
                <w:sz w:val="21"/>
                <w:szCs w:val="21"/>
              </w:rPr>
            </w:pPr>
            <w:r>
              <w:rPr>
                <w:sz w:val="21"/>
                <w:szCs w:val="21"/>
              </w:rPr>
              <w:t>200</w:t>
            </w:r>
          </w:p>
        </w:tc>
        <w:tc>
          <w:tcPr>
            <w:tcW w:w="810" w:type="pct"/>
            <w:vAlign w:val="center"/>
          </w:tcPr>
          <w:p w14:paraId="64D5D0CE">
            <w:pPr>
              <w:autoSpaceDE w:val="0"/>
              <w:autoSpaceDN w:val="0"/>
              <w:adjustRightInd w:val="0"/>
              <w:spacing w:line="240" w:lineRule="auto"/>
              <w:ind w:firstLine="0" w:firstLineChars="0"/>
              <w:jc w:val="center"/>
              <w:rPr>
                <w:sz w:val="21"/>
                <w:szCs w:val="21"/>
              </w:rPr>
            </w:pPr>
          </w:p>
        </w:tc>
      </w:tr>
      <w:tr w14:paraId="2BB2E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517" w:type="pct"/>
            <w:vAlign w:val="center"/>
          </w:tcPr>
          <w:p w14:paraId="06EB478E">
            <w:pPr>
              <w:autoSpaceDE w:val="0"/>
              <w:autoSpaceDN w:val="0"/>
              <w:adjustRightInd w:val="0"/>
              <w:spacing w:line="240" w:lineRule="auto"/>
              <w:ind w:firstLine="0" w:firstLineChars="0"/>
              <w:jc w:val="center"/>
              <w:rPr>
                <w:sz w:val="21"/>
                <w:szCs w:val="21"/>
              </w:rPr>
            </w:pPr>
            <w:r>
              <w:rPr>
                <w:sz w:val="21"/>
                <w:szCs w:val="21"/>
              </w:rPr>
              <w:t>4</w:t>
            </w:r>
          </w:p>
        </w:tc>
        <w:tc>
          <w:tcPr>
            <w:tcW w:w="947" w:type="pct"/>
            <w:vAlign w:val="center"/>
          </w:tcPr>
          <w:p w14:paraId="738871D3">
            <w:pPr>
              <w:autoSpaceDE w:val="0"/>
              <w:autoSpaceDN w:val="0"/>
              <w:adjustRightInd w:val="0"/>
              <w:spacing w:line="240" w:lineRule="auto"/>
              <w:ind w:firstLine="0" w:firstLineChars="0"/>
              <w:jc w:val="center"/>
              <w:rPr>
                <w:sz w:val="21"/>
                <w:szCs w:val="21"/>
              </w:rPr>
            </w:pPr>
            <w:r>
              <w:rPr>
                <w:sz w:val="21"/>
                <w:szCs w:val="21"/>
              </w:rPr>
              <w:t>镀铜圆钢</w:t>
            </w:r>
          </w:p>
        </w:tc>
        <w:tc>
          <w:tcPr>
            <w:tcW w:w="1730" w:type="pct"/>
            <w:vAlign w:val="center"/>
          </w:tcPr>
          <w:p w14:paraId="56584359">
            <w:pPr>
              <w:autoSpaceDE w:val="0"/>
              <w:autoSpaceDN w:val="0"/>
              <w:adjustRightInd w:val="0"/>
              <w:spacing w:line="240" w:lineRule="auto"/>
              <w:ind w:firstLine="0" w:firstLineChars="0"/>
              <w:jc w:val="center"/>
              <w:rPr>
                <w:sz w:val="21"/>
                <w:szCs w:val="21"/>
              </w:rPr>
            </w:pPr>
            <w:r>
              <w:rPr>
                <w:rFonts w:ascii="Cambria Math" w:hAnsi="Cambria Math" w:eastAsia="MS Mincho" w:cs="Cambria Math"/>
                <w:sz w:val="21"/>
                <w:szCs w:val="21"/>
              </w:rPr>
              <w:t>∅</w:t>
            </w:r>
            <w:r>
              <w:rPr>
                <w:sz w:val="21"/>
                <w:szCs w:val="21"/>
              </w:rPr>
              <w:t>20(镀铜厚度0.8mm)</w:t>
            </w:r>
          </w:p>
        </w:tc>
        <w:tc>
          <w:tcPr>
            <w:tcW w:w="468" w:type="pct"/>
            <w:vAlign w:val="center"/>
          </w:tcPr>
          <w:p w14:paraId="6CD9D942">
            <w:pPr>
              <w:autoSpaceDE w:val="0"/>
              <w:autoSpaceDN w:val="0"/>
              <w:adjustRightInd w:val="0"/>
              <w:spacing w:line="240" w:lineRule="auto"/>
              <w:ind w:firstLine="0" w:firstLineChars="0"/>
              <w:jc w:val="center"/>
              <w:rPr>
                <w:sz w:val="21"/>
                <w:szCs w:val="21"/>
              </w:rPr>
            </w:pPr>
            <w:r>
              <w:rPr>
                <w:sz w:val="21"/>
                <w:szCs w:val="21"/>
              </w:rPr>
              <w:t>m</w:t>
            </w:r>
          </w:p>
        </w:tc>
        <w:tc>
          <w:tcPr>
            <w:tcW w:w="528" w:type="pct"/>
            <w:vAlign w:val="center"/>
          </w:tcPr>
          <w:p w14:paraId="2649D76F">
            <w:pPr>
              <w:autoSpaceDE w:val="0"/>
              <w:autoSpaceDN w:val="0"/>
              <w:adjustRightInd w:val="0"/>
              <w:spacing w:line="240" w:lineRule="auto"/>
              <w:ind w:firstLine="0" w:firstLineChars="0"/>
              <w:jc w:val="center"/>
              <w:rPr>
                <w:sz w:val="21"/>
                <w:szCs w:val="21"/>
              </w:rPr>
            </w:pPr>
            <w:r>
              <w:rPr>
                <w:sz w:val="21"/>
                <w:szCs w:val="21"/>
              </w:rPr>
              <w:t>1</w:t>
            </w:r>
            <w:r>
              <w:rPr>
                <w:rFonts w:hint="eastAsia"/>
                <w:sz w:val="21"/>
                <w:szCs w:val="21"/>
              </w:rPr>
              <w:t>50</w:t>
            </w:r>
          </w:p>
        </w:tc>
        <w:tc>
          <w:tcPr>
            <w:tcW w:w="810" w:type="pct"/>
            <w:vAlign w:val="center"/>
          </w:tcPr>
          <w:p w14:paraId="7026CBED">
            <w:pPr>
              <w:autoSpaceDE w:val="0"/>
              <w:autoSpaceDN w:val="0"/>
              <w:adjustRightInd w:val="0"/>
              <w:spacing w:line="240" w:lineRule="auto"/>
              <w:ind w:firstLine="0" w:firstLineChars="0"/>
              <w:jc w:val="center"/>
              <w:rPr>
                <w:sz w:val="21"/>
                <w:szCs w:val="21"/>
              </w:rPr>
            </w:pPr>
            <w:r>
              <w:rPr>
                <w:sz w:val="21"/>
                <w:szCs w:val="21"/>
              </w:rPr>
              <w:t>水平接地极</w:t>
            </w:r>
          </w:p>
        </w:tc>
      </w:tr>
      <w:tr w14:paraId="5F49CB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517" w:type="pct"/>
            <w:vAlign w:val="center"/>
          </w:tcPr>
          <w:p w14:paraId="326B816E">
            <w:pPr>
              <w:autoSpaceDE w:val="0"/>
              <w:autoSpaceDN w:val="0"/>
              <w:adjustRightInd w:val="0"/>
              <w:spacing w:line="240" w:lineRule="auto"/>
              <w:ind w:firstLine="0" w:firstLineChars="0"/>
              <w:jc w:val="center"/>
              <w:rPr>
                <w:sz w:val="21"/>
                <w:szCs w:val="21"/>
              </w:rPr>
            </w:pPr>
            <w:r>
              <w:rPr>
                <w:sz w:val="21"/>
                <w:szCs w:val="21"/>
              </w:rPr>
              <w:t>5</w:t>
            </w:r>
          </w:p>
        </w:tc>
        <w:tc>
          <w:tcPr>
            <w:tcW w:w="947" w:type="pct"/>
            <w:vAlign w:val="center"/>
          </w:tcPr>
          <w:p w14:paraId="79566AE4">
            <w:pPr>
              <w:autoSpaceDE w:val="0"/>
              <w:autoSpaceDN w:val="0"/>
              <w:adjustRightInd w:val="0"/>
              <w:spacing w:line="240" w:lineRule="auto"/>
              <w:ind w:firstLine="0" w:firstLineChars="0"/>
              <w:jc w:val="center"/>
              <w:rPr>
                <w:sz w:val="21"/>
                <w:szCs w:val="21"/>
              </w:rPr>
            </w:pPr>
            <w:r>
              <w:rPr>
                <w:sz w:val="21"/>
                <w:szCs w:val="21"/>
              </w:rPr>
              <w:t>镀铜钢棒</w:t>
            </w:r>
          </w:p>
        </w:tc>
        <w:tc>
          <w:tcPr>
            <w:tcW w:w="1730" w:type="pct"/>
            <w:vAlign w:val="center"/>
          </w:tcPr>
          <w:p w14:paraId="5EF62ECF">
            <w:pPr>
              <w:autoSpaceDE w:val="0"/>
              <w:autoSpaceDN w:val="0"/>
              <w:adjustRightInd w:val="0"/>
              <w:spacing w:line="240" w:lineRule="auto"/>
              <w:ind w:firstLine="0" w:firstLineChars="0"/>
              <w:jc w:val="center"/>
              <w:rPr>
                <w:sz w:val="21"/>
                <w:szCs w:val="21"/>
              </w:rPr>
            </w:pPr>
            <w:r>
              <w:rPr>
                <w:rFonts w:ascii="Cambria Math" w:hAnsi="Cambria Math" w:eastAsia="MS Mincho" w:cs="Cambria Math"/>
                <w:sz w:val="21"/>
                <w:szCs w:val="21"/>
              </w:rPr>
              <w:t>∅</w:t>
            </w:r>
            <w:r>
              <w:rPr>
                <w:sz w:val="21"/>
                <w:szCs w:val="21"/>
              </w:rPr>
              <w:t>20(镀铜厚度0.8mm)</w:t>
            </w:r>
          </w:p>
          <w:p w14:paraId="1957D190">
            <w:pPr>
              <w:autoSpaceDE w:val="0"/>
              <w:autoSpaceDN w:val="0"/>
              <w:adjustRightInd w:val="0"/>
              <w:spacing w:line="240" w:lineRule="auto"/>
              <w:ind w:firstLine="0" w:firstLineChars="0"/>
              <w:jc w:val="center"/>
              <w:rPr>
                <w:sz w:val="21"/>
                <w:szCs w:val="21"/>
              </w:rPr>
            </w:pPr>
            <w:r>
              <w:rPr>
                <w:sz w:val="21"/>
                <w:szCs w:val="21"/>
              </w:rPr>
              <w:t>L=3000mm</w:t>
            </w:r>
          </w:p>
        </w:tc>
        <w:tc>
          <w:tcPr>
            <w:tcW w:w="468" w:type="pct"/>
            <w:vAlign w:val="center"/>
          </w:tcPr>
          <w:p w14:paraId="377621CB">
            <w:pPr>
              <w:autoSpaceDE w:val="0"/>
              <w:autoSpaceDN w:val="0"/>
              <w:adjustRightInd w:val="0"/>
              <w:spacing w:line="240" w:lineRule="auto"/>
              <w:ind w:firstLine="0" w:firstLineChars="0"/>
              <w:jc w:val="center"/>
              <w:rPr>
                <w:sz w:val="21"/>
                <w:szCs w:val="21"/>
              </w:rPr>
            </w:pPr>
            <w:r>
              <w:rPr>
                <w:sz w:val="21"/>
                <w:szCs w:val="21"/>
              </w:rPr>
              <w:t>根</w:t>
            </w:r>
          </w:p>
        </w:tc>
        <w:tc>
          <w:tcPr>
            <w:tcW w:w="528" w:type="pct"/>
            <w:vAlign w:val="center"/>
          </w:tcPr>
          <w:p w14:paraId="5672E74D">
            <w:pPr>
              <w:autoSpaceDE w:val="0"/>
              <w:autoSpaceDN w:val="0"/>
              <w:adjustRightInd w:val="0"/>
              <w:spacing w:line="240" w:lineRule="auto"/>
              <w:ind w:firstLine="0" w:firstLineChars="0"/>
              <w:jc w:val="center"/>
              <w:rPr>
                <w:sz w:val="21"/>
                <w:szCs w:val="21"/>
              </w:rPr>
            </w:pPr>
            <w:r>
              <w:rPr>
                <w:rFonts w:hint="eastAsia"/>
                <w:sz w:val="21"/>
                <w:szCs w:val="21"/>
              </w:rPr>
              <w:t>60</w:t>
            </w:r>
          </w:p>
        </w:tc>
        <w:tc>
          <w:tcPr>
            <w:tcW w:w="810" w:type="pct"/>
            <w:vAlign w:val="center"/>
          </w:tcPr>
          <w:p w14:paraId="1B5AA58E">
            <w:pPr>
              <w:autoSpaceDE w:val="0"/>
              <w:autoSpaceDN w:val="0"/>
              <w:adjustRightInd w:val="0"/>
              <w:spacing w:line="240" w:lineRule="auto"/>
              <w:ind w:firstLine="0" w:firstLineChars="0"/>
              <w:jc w:val="center"/>
              <w:rPr>
                <w:sz w:val="21"/>
                <w:szCs w:val="21"/>
              </w:rPr>
            </w:pPr>
            <w:r>
              <w:rPr>
                <w:sz w:val="21"/>
                <w:szCs w:val="21"/>
              </w:rPr>
              <w:t>垂直接地极</w:t>
            </w:r>
          </w:p>
        </w:tc>
      </w:tr>
      <w:tr w14:paraId="4D64C1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517" w:type="pct"/>
            <w:vAlign w:val="center"/>
          </w:tcPr>
          <w:p w14:paraId="7D23D1AA">
            <w:pPr>
              <w:autoSpaceDE w:val="0"/>
              <w:autoSpaceDN w:val="0"/>
              <w:adjustRightInd w:val="0"/>
              <w:spacing w:line="240" w:lineRule="auto"/>
              <w:ind w:firstLine="0" w:firstLineChars="0"/>
              <w:jc w:val="center"/>
              <w:rPr>
                <w:sz w:val="21"/>
                <w:szCs w:val="21"/>
              </w:rPr>
            </w:pPr>
            <w:r>
              <w:rPr>
                <w:sz w:val="21"/>
                <w:szCs w:val="21"/>
              </w:rPr>
              <w:t>6</w:t>
            </w:r>
          </w:p>
        </w:tc>
        <w:tc>
          <w:tcPr>
            <w:tcW w:w="947" w:type="pct"/>
            <w:vAlign w:val="center"/>
          </w:tcPr>
          <w:p w14:paraId="27579858">
            <w:pPr>
              <w:autoSpaceDE w:val="0"/>
              <w:autoSpaceDN w:val="0"/>
              <w:adjustRightInd w:val="0"/>
              <w:spacing w:line="240" w:lineRule="auto"/>
              <w:ind w:firstLine="0" w:firstLineChars="0"/>
              <w:jc w:val="center"/>
              <w:rPr>
                <w:sz w:val="21"/>
                <w:szCs w:val="21"/>
              </w:rPr>
            </w:pPr>
            <w:r>
              <w:rPr>
                <w:sz w:val="21"/>
                <w:szCs w:val="21"/>
              </w:rPr>
              <w:t>防火堵料</w:t>
            </w:r>
          </w:p>
        </w:tc>
        <w:tc>
          <w:tcPr>
            <w:tcW w:w="1730" w:type="pct"/>
            <w:vAlign w:val="center"/>
          </w:tcPr>
          <w:p w14:paraId="7DE22F95">
            <w:pPr>
              <w:autoSpaceDE w:val="0"/>
              <w:autoSpaceDN w:val="0"/>
              <w:adjustRightInd w:val="0"/>
              <w:spacing w:line="240" w:lineRule="auto"/>
              <w:ind w:firstLine="0" w:firstLineChars="0"/>
              <w:jc w:val="center"/>
              <w:rPr>
                <w:sz w:val="21"/>
                <w:szCs w:val="21"/>
              </w:rPr>
            </w:pPr>
            <w:r>
              <w:rPr>
                <w:sz w:val="21"/>
                <w:szCs w:val="21"/>
              </w:rPr>
              <w:t>SFD-II</w:t>
            </w:r>
          </w:p>
        </w:tc>
        <w:tc>
          <w:tcPr>
            <w:tcW w:w="468" w:type="pct"/>
            <w:vAlign w:val="center"/>
          </w:tcPr>
          <w:p w14:paraId="7E4C48A2">
            <w:pPr>
              <w:autoSpaceDE w:val="0"/>
              <w:autoSpaceDN w:val="0"/>
              <w:adjustRightInd w:val="0"/>
              <w:spacing w:line="240" w:lineRule="auto"/>
              <w:ind w:firstLine="0" w:firstLineChars="0"/>
              <w:jc w:val="center"/>
              <w:rPr>
                <w:sz w:val="21"/>
                <w:szCs w:val="21"/>
              </w:rPr>
            </w:pPr>
            <w:r>
              <w:rPr>
                <w:sz w:val="21"/>
                <w:szCs w:val="21"/>
              </w:rPr>
              <w:t>吨</w:t>
            </w:r>
          </w:p>
        </w:tc>
        <w:tc>
          <w:tcPr>
            <w:tcW w:w="528" w:type="pct"/>
            <w:vAlign w:val="center"/>
          </w:tcPr>
          <w:p w14:paraId="56F8BCF3">
            <w:pPr>
              <w:autoSpaceDE w:val="0"/>
              <w:autoSpaceDN w:val="0"/>
              <w:adjustRightInd w:val="0"/>
              <w:spacing w:line="240" w:lineRule="auto"/>
              <w:ind w:firstLine="0" w:firstLineChars="0"/>
              <w:jc w:val="center"/>
              <w:rPr>
                <w:sz w:val="21"/>
                <w:szCs w:val="21"/>
              </w:rPr>
            </w:pPr>
            <w:r>
              <w:rPr>
                <w:sz w:val="21"/>
                <w:szCs w:val="21"/>
              </w:rPr>
              <w:t>0.</w:t>
            </w:r>
            <w:r>
              <w:rPr>
                <w:rFonts w:hint="eastAsia"/>
                <w:sz w:val="21"/>
                <w:szCs w:val="21"/>
              </w:rPr>
              <w:t>3</w:t>
            </w:r>
          </w:p>
        </w:tc>
        <w:tc>
          <w:tcPr>
            <w:tcW w:w="810" w:type="pct"/>
            <w:vAlign w:val="center"/>
          </w:tcPr>
          <w:p w14:paraId="615FC1C6">
            <w:pPr>
              <w:autoSpaceDE w:val="0"/>
              <w:autoSpaceDN w:val="0"/>
              <w:adjustRightInd w:val="0"/>
              <w:spacing w:line="240" w:lineRule="auto"/>
              <w:ind w:firstLine="0" w:firstLineChars="0"/>
              <w:jc w:val="center"/>
              <w:rPr>
                <w:sz w:val="21"/>
                <w:szCs w:val="21"/>
              </w:rPr>
            </w:pPr>
          </w:p>
        </w:tc>
      </w:tr>
      <w:tr w14:paraId="07D4A6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517" w:type="pct"/>
            <w:vAlign w:val="center"/>
          </w:tcPr>
          <w:p w14:paraId="0FCF1FB1">
            <w:pPr>
              <w:autoSpaceDE w:val="0"/>
              <w:autoSpaceDN w:val="0"/>
              <w:adjustRightInd w:val="0"/>
              <w:spacing w:line="240" w:lineRule="auto"/>
              <w:ind w:firstLine="0" w:firstLineChars="0"/>
              <w:jc w:val="center"/>
              <w:rPr>
                <w:sz w:val="21"/>
                <w:szCs w:val="21"/>
              </w:rPr>
            </w:pPr>
            <w:r>
              <w:rPr>
                <w:sz w:val="21"/>
                <w:szCs w:val="21"/>
              </w:rPr>
              <w:t>7</w:t>
            </w:r>
          </w:p>
        </w:tc>
        <w:tc>
          <w:tcPr>
            <w:tcW w:w="947" w:type="pct"/>
            <w:vAlign w:val="center"/>
          </w:tcPr>
          <w:p w14:paraId="5AA3BE93">
            <w:pPr>
              <w:autoSpaceDE w:val="0"/>
              <w:autoSpaceDN w:val="0"/>
              <w:adjustRightInd w:val="0"/>
              <w:spacing w:line="240" w:lineRule="auto"/>
              <w:ind w:firstLine="0" w:firstLineChars="0"/>
              <w:jc w:val="center"/>
              <w:rPr>
                <w:sz w:val="21"/>
                <w:szCs w:val="21"/>
              </w:rPr>
            </w:pPr>
            <w:r>
              <w:rPr>
                <w:sz w:val="21"/>
                <w:szCs w:val="21"/>
              </w:rPr>
              <w:t>防火堵料</w:t>
            </w:r>
          </w:p>
        </w:tc>
        <w:tc>
          <w:tcPr>
            <w:tcW w:w="1730" w:type="pct"/>
            <w:vAlign w:val="center"/>
          </w:tcPr>
          <w:p w14:paraId="71612068">
            <w:pPr>
              <w:autoSpaceDE w:val="0"/>
              <w:autoSpaceDN w:val="0"/>
              <w:adjustRightInd w:val="0"/>
              <w:spacing w:line="240" w:lineRule="auto"/>
              <w:ind w:firstLine="0" w:firstLineChars="0"/>
              <w:jc w:val="center"/>
              <w:rPr>
                <w:sz w:val="21"/>
                <w:szCs w:val="21"/>
              </w:rPr>
            </w:pPr>
            <w:r>
              <w:rPr>
                <w:sz w:val="21"/>
                <w:szCs w:val="21"/>
              </w:rPr>
              <w:t>DFD-III(A)</w:t>
            </w:r>
          </w:p>
        </w:tc>
        <w:tc>
          <w:tcPr>
            <w:tcW w:w="468" w:type="pct"/>
            <w:vAlign w:val="center"/>
          </w:tcPr>
          <w:p w14:paraId="4FD9F67B">
            <w:pPr>
              <w:autoSpaceDE w:val="0"/>
              <w:autoSpaceDN w:val="0"/>
              <w:adjustRightInd w:val="0"/>
              <w:spacing w:line="240" w:lineRule="auto"/>
              <w:ind w:firstLine="0" w:firstLineChars="0"/>
              <w:jc w:val="center"/>
              <w:rPr>
                <w:sz w:val="21"/>
                <w:szCs w:val="21"/>
              </w:rPr>
            </w:pPr>
            <w:r>
              <w:rPr>
                <w:sz w:val="21"/>
                <w:szCs w:val="21"/>
              </w:rPr>
              <w:t>吨</w:t>
            </w:r>
          </w:p>
        </w:tc>
        <w:tc>
          <w:tcPr>
            <w:tcW w:w="528" w:type="pct"/>
            <w:vAlign w:val="center"/>
          </w:tcPr>
          <w:p w14:paraId="210D137C">
            <w:pPr>
              <w:autoSpaceDE w:val="0"/>
              <w:autoSpaceDN w:val="0"/>
              <w:adjustRightInd w:val="0"/>
              <w:spacing w:line="240" w:lineRule="auto"/>
              <w:ind w:firstLine="0" w:firstLineChars="0"/>
              <w:jc w:val="center"/>
              <w:rPr>
                <w:sz w:val="21"/>
                <w:szCs w:val="21"/>
              </w:rPr>
            </w:pPr>
            <w:r>
              <w:rPr>
                <w:sz w:val="21"/>
                <w:szCs w:val="21"/>
              </w:rPr>
              <w:t>0.</w:t>
            </w:r>
            <w:r>
              <w:rPr>
                <w:rFonts w:hint="eastAsia"/>
                <w:sz w:val="21"/>
                <w:szCs w:val="21"/>
              </w:rPr>
              <w:t>3</w:t>
            </w:r>
          </w:p>
        </w:tc>
        <w:tc>
          <w:tcPr>
            <w:tcW w:w="810" w:type="pct"/>
            <w:vAlign w:val="center"/>
          </w:tcPr>
          <w:p w14:paraId="6DB6AF89">
            <w:pPr>
              <w:autoSpaceDE w:val="0"/>
              <w:autoSpaceDN w:val="0"/>
              <w:adjustRightInd w:val="0"/>
              <w:spacing w:line="240" w:lineRule="auto"/>
              <w:ind w:firstLine="0" w:firstLineChars="0"/>
              <w:jc w:val="center"/>
              <w:rPr>
                <w:sz w:val="21"/>
                <w:szCs w:val="21"/>
              </w:rPr>
            </w:pPr>
          </w:p>
        </w:tc>
      </w:tr>
      <w:tr w14:paraId="561F97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517" w:type="pct"/>
            <w:vAlign w:val="center"/>
          </w:tcPr>
          <w:p w14:paraId="030427C8">
            <w:pPr>
              <w:autoSpaceDE w:val="0"/>
              <w:autoSpaceDN w:val="0"/>
              <w:adjustRightInd w:val="0"/>
              <w:spacing w:line="240" w:lineRule="auto"/>
              <w:ind w:firstLine="0" w:firstLineChars="0"/>
              <w:jc w:val="center"/>
              <w:rPr>
                <w:sz w:val="21"/>
                <w:szCs w:val="21"/>
              </w:rPr>
            </w:pPr>
            <w:r>
              <w:rPr>
                <w:sz w:val="21"/>
                <w:szCs w:val="21"/>
              </w:rPr>
              <w:t>8</w:t>
            </w:r>
          </w:p>
        </w:tc>
        <w:tc>
          <w:tcPr>
            <w:tcW w:w="947" w:type="pct"/>
            <w:vAlign w:val="center"/>
          </w:tcPr>
          <w:p w14:paraId="3C51EF85">
            <w:pPr>
              <w:autoSpaceDE w:val="0"/>
              <w:autoSpaceDN w:val="0"/>
              <w:adjustRightInd w:val="0"/>
              <w:spacing w:line="240" w:lineRule="auto"/>
              <w:ind w:firstLine="0" w:firstLineChars="0"/>
              <w:jc w:val="center"/>
              <w:rPr>
                <w:sz w:val="21"/>
                <w:szCs w:val="21"/>
              </w:rPr>
            </w:pPr>
            <w:r>
              <w:rPr>
                <w:sz w:val="21"/>
                <w:szCs w:val="21"/>
              </w:rPr>
              <w:t>防火涂料</w:t>
            </w:r>
          </w:p>
        </w:tc>
        <w:tc>
          <w:tcPr>
            <w:tcW w:w="1730" w:type="pct"/>
            <w:vAlign w:val="center"/>
          </w:tcPr>
          <w:p w14:paraId="5D032A76">
            <w:pPr>
              <w:autoSpaceDE w:val="0"/>
              <w:autoSpaceDN w:val="0"/>
              <w:adjustRightInd w:val="0"/>
              <w:spacing w:line="240" w:lineRule="auto"/>
              <w:ind w:firstLine="0" w:firstLineChars="0"/>
              <w:jc w:val="center"/>
              <w:rPr>
                <w:sz w:val="21"/>
                <w:szCs w:val="21"/>
              </w:rPr>
            </w:pPr>
            <w:r>
              <w:rPr>
                <w:sz w:val="21"/>
                <w:szCs w:val="21"/>
              </w:rPr>
              <w:t>G60-3D</w:t>
            </w:r>
          </w:p>
        </w:tc>
        <w:tc>
          <w:tcPr>
            <w:tcW w:w="468" w:type="pct"/>
            <w:vAlign w:val="center"/>
          </w:tcPr>
          <w:p w14:paraId="6AC073FA">
            <w:pPr>
              <w:autoSpaceDE w:val="0"/>
              <w:autoSpaceDN w:val="0"/>
              <w:adjustRightInd w:val="0"/>
              <w:spacing w:line="240" w:lineRule="auto"/>
              <w:ind w:firstLine="0" w:firstLineChars="0"/>
              <w:jc w:val="center"/>
              <w:rPr>
                <w:sz w:val="21"/>
                <w:szCs w:val="21"/>
              </w:rPr>
            </w:pPr>
            <w:r>
              <w:rPr>
                <w:sz w:val="21"/>
                <w:szCs w:val="21"/>
              </w:rPr>
              <w:t>吨</w:t>
            </w:r>
          </w:p>
        </w:tc>
        <w:tc>
          <w:tcPr>
            <w:tcW w:w="528" w:type="pct"/>
            <w:vAlign w:val="center"/>
          </w:tcPr>
          <w:p w14:paraId="358B1D41">
            <w:pPr>
              <w:autoSpaceDE w:val="0"/>
              <w:autoSpaceDN w:val="0"/>
              <w:adjustRightInd w:val="0"/>
              <w:spacing w:line="240" w:lineRule="auto"/>
              <w:ind w:firstLine="0" w:firstLineChars="0"/>
              <w:jc w:val="center"/>
              <w:rPr>
                <w:sz w:val="21"/>
                <w:szCs w:val="21"/>
              </w:rPr>
            </w:pPr>
            <w:r>
              <w:rPr>
                <w:sz w:val="21"/>
                <w:szCs w:val="21"/>
              </w:rPr>
              <w:t>0.</w:t>
            </w:r>
            <w:r>
              <w:rPr>
                <w:rFonts w:hint="eastAsia"/>
                <w:sz w:val="21"/>
                <w:szCs w:val="21"/>
              </w:rPr>
              <w:t>3</w:t>
            </w:r>
          </w:p>
        </w:tc>
        <w:tc>
          <w:tcPr>
            <w:tcW w:w="810" w:type="pct"/>
            <w:vAlign w:val="center"/>
          </w:tcPr>
          <w:p w14:paraId="5B963DFC">
            <w:pPr>
              <w:autoSpaceDE w:val="0"/>
              <w:autoSpaceDN w:val="0"/>
              <w:adjustRightInd w:val="0"/>
              <w:spacing w:line="240" w:lineRule="auto"/>
              <w:ind w:firstLine="0" w:firstLineChars="0"/>
              <w:jc w:val="center"/>
              <w:rPr>
                <w:sz w:val="21"/>
                <w:szCs w:val="21"/>
              </w:rPr>
            </w:pPr>
          </w:p>
        </w:tc>
      </w:tr>
      <w:tr w14:paraId="58EC6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517" w:type="pct"/>
            <w:vAlign w:val="center"/>
          </w:tcPr>
          <w:p w14:paraId="5B7FA1D2">
            <w:pPr>
              <w:autoSpaceDE w:val="0"/>
              <w:autoSpaceDN w:val="0"/>
              <w:adjustRightInd w:val="0"/>
              <w:spacing w:line="240" w:lineRule="auto"/>
              <w:ind w:firstLine="0" w:firstLineChars="0"/>
              <w:jc w:val="center"/>
              <w:rPr>
                <w:sz w:val="21"/>
                <w:szCs w:val="21"/>
              </w:rPr>
            </w:pPr>
            <w:r>
              <w:rPr>
                <w:sz w:val="21"/>
                <w:szCs w:val="21"/>
              </w:rPr>
              <w:t>9</w:t>
            </w:r>
          </w:p>
        </w:tc>
        <w:tc>
          <w:tcPr>
            <w:tcW w:w="947" w:type="pct"/>
            <w:vAlign w:val="center"/>
          </w:tcPr>
          <w:p w14:paraId="029E6D72">
            <w:pPr>
              <w:autoSpaceDE w:val="0"/>
              <w:autoSpaceDN w:val="0"/>
              <w:adjustRightInd w:val="0"/>
              <w:spacing w:line="240" w:lineRule="auto"/>
              <w:ind w:firstLine="0" w:firstLineChars="0"/>
              <w:jc w:val="center"/>
              <w:rPr>
                <w:sz w:val="21"/>
                <w:szCs w:val="21"/>
              </w:rPr>
            </w:pPr>
            <w:r>
              <w:rPr>
                <w:sz w:val="21"/>
                <w:szCs w:val="21"/>
              </w:rPr>
              <w:t>防火封堵板</w:t>
            </w:r>
          </w:p>
        </w:tc>
        <w:tc>
          <w:tcPr>
            <w:tcW w:w="1730" w:type="pct"/>
            <w:vAlign w:val="center"/>
          </w:tcPr>
          <w:p w14:paraId="3D0BC297">
            <w:pPr>
              <w:autoSpaceDE w:val="0"/>
              <w:autoSpaceDN w:val="0"/>
              <w:adjustRightInd w:val="0"/>
              <w:spacing w:line="240" w:lineRule="auto"/>
              <w:ind w:firstLine="0" w:firstLineChars="0"/>
              <w:jc w:val="center"/>
              <w:rPr>
                <w:sz w:val="21"/>
                <w:szCs w:val="21"/>
              </w:rPr>
            </w:pPr>
          </w:p>
        </w:tc>
        <w:tc>
          <w:tcPr>
            <w:tcW w:w="468" w:type="pct"/>
            <w:vAlign w:val="center"/>
          </w:tcPr>
          <w:p w14:paraId="709032F4">
            <w:pPr>
              <w:autoSpaceDE w:val="0"/>
              <w:autoSpaceDN w:val="0"/>
              <w:adjustRightInd w:val="0"/>
              <w:spacing w:line="240" w:lineRule="auto"/>
              <w:ind w:firstLine="0" w:firstLineChars="0"/>
              <w:jc w:val="center"/>
              <w:rPr>
                <w:sz w:val="21"/>
                <w:szCs w:val="21"/>
              </w:rPr>
            </w:pPr>
            <w:r>
              <w:rPr>
                <w:sz w:val="21"/>
                <w:szCs w:val="21"/>
              </w:rPr>
              <w:t>m</w:t>
            </w:r>
            <w:r>
              <w:rPr>
                <w:sz w:val="21"/>
                <w:szCs w:val="21"/>
                <w:vertAlign w:val="superscript"/>
              </w:rPr>
              <w:t>2</w:t>
            </w:r>
          </w:p>
        </w:tc>
        <w:tc>
          <w:tcPr>
            <w:tcW w:w="528" w:type="pct"/>
            <w:vAlign w:val="center"/>
          </w:tcPr>
          <w:p w14:paraId="00C4F511">
            <w:pPr>
              <w:autoSpaceDE w:val="0"/>
              <w:autoSpaceDN w:val="0"/>
              <w:adjustRightInd w:val="0"/>
              <w:spacing w:line="240" w:lineRule="auto"/>
              <w:ind w:firstLine="0" w:firstLineChars="0"/>
              <w:jc w:val="center"/>
              <w:rPr>
                <w:sz w:val="21"/>
                <w:szCs w:val="21"/>
              </w:rPr>
            </w:pPr>
            <w:r>
              <w:rPr>
                <w:sz w:val="21"/>
                <w:szCs w:val="21"/>
              </w:rPr>
              <w:t>1</w:t>
            </w:r>
            <w:r>
              <w:rPr>
                <w:rFonts w:hint="eastAsia"/>
                <w:sz w:val="21"/>
                <w:szCs w:val="21"/>
              </w:rPr>
              <w:t>5</w:t>
            </w:r>
          </w:p>
        </w:tc>
        <w:tc>
          <w:tcPr>
            <w:tcW w:w="810" w:type="pct"/>
            <w:vAlign w:val="center"/>
          </w:tcPr>
          <w:p w14:paraId="4F43ED8C">
            <w:pPr>
              <w:autoSpaceDE w:val="0"/>
              <w:autoSpaceDN w:val="0"/>
              <w:adjustRightInd w:val="0"/>
              <w:spacing w:line="240" w:lineRule="auto"/>
              <w:ind w:firstLine="0" w:firstLineChars="0"/>
              <w:jc w:val="center"/>
              <w:rPr>
                <w:sz w:val="21"/>
                <w:szCs w:val="21"/>
              </w:rPr>
            </w:pPr>
          </w:p>
        </w:tc>
      </w:tr>
    </w:tbl>
    <w:p w14:paraId="75863982">
      <w:pPr>
        <w:numPr>
          <w:ilvl w:val="255"/>
          <w:numId w:val="0"/>
        </w:numPr>
        <w:adjustRightInd w:val="0"/>
        <w:spacing w:line="360" w:lineRule="auto"/>
        <w:ind w:firstLine="480" w:firstLineChars="200"/>
      </w:pPr>
    </w:p>
    <w:p w14:paraId="2FEA0AC5">
      <w:pPr>
        <w:numPr>
          <w:ilvl w:val="0"/>
          <w:numId w:val="17"/>
        </w:numPr>
        <w:adjustRightInd w:val="0"/>
        <w:spacing w:line="360" w:lineRule="auto"/>
        <w:ind w:left="0" w:firstLine="480"/>
      </w:pPr>
      <w:r>
        <w:t>场区施工变</w:t>
      </w:r>
    </w:p>
    <w:p w14:paraId="300821CC">
      <w:pPr>
        <w:adjustRightInd w:val="0"/>
        <w:spacing w:line="360" w:lineRule="auto"/>
        <w:ind w:firstLine="480"/>
      </w:pPr>
      <w:r>
        <w:t>（1）</w:t>
      </w:r>
      <w:r>
        <w:rPr>
          <w:rFonts w:hint="eastAsia"/>
          <w:lang w:eastAsia="zh-CN"/>
        </w:rPr>
        <w:t>投标人</w:t>
      </w:r>
      <w:r>
        <w:t>采购户外箱式变电站一套，容量（10kV/400kVA），低压配电柜包括适配变压器容量的进线电源开关以及若干个低压馈电柜，每个回路均配置计量电度表。工作内容包括户外箱式变电站的采购、安装、调试、试验等工作。</w:t>
      </w:r>
    </w:p>
    <w:p w14:paraId="4EACF6A0">
      <w:pPr>
        <w:numPr>
          <w:ilvl w:val="0"/>
          <w:numId w:val="17"/>
        </w:numPr>
        <w:adjustRightInd w:val="0"/>
        <w:spacing w:line="360" w:lineRule="auto"/>
        <w:ind w:left="0" w:firstLine="480"/>
      </w:pPr>
      <w:r>
        <w:t>定向钻施工变</w:t>
      </w:r>
    </w:p>
    <w:p w14:paraId="73CF0B2E">
      <w:pPr>
        <w:adjustRightInd w:val="0"/>
        <w:spacing w:line="360" w:lineRule="auto"/>
        <w:ind w:firstLine="480"/>
      </w:pPr>
      <w:r>
        <w:t>（2）</w:t>
      </w:r>
      <w:r>
        <w:rPr>
          <w:rFonts w:hint="eastAsia"/>
          <w:lang w:eastAsia="zh-CN"/>
        </w:rPr>
        <w:t>投标人</w:t>
      </w:r>
      <w:r>
        <w:rPr>
          <w:rFonts w:hint="eastAsia"/>
        </w:rPr>
        <w:t>采购户外箱式变电站两套，每套容量（10kV/800kVA），低压配电柜包括适配变压器容量的进线电源开关以及若干个低压馈电柜，每个回路均配置计量电度表。工作内容包括户外箱式变电站的采购、安装、调试、试验等工作。</w:t>
      </w:r>
    </w:p>
    <w:p w14:paraId="080A5145">
      <w:pPr>
        <w:numPr>
          <w:ilvl w:val="0"/>
          <w:numId w:val="17"/>
        </w:numPr>
        <w:adjustRightInd w:val="0"/>
        <w:spacing w:line="360" w:lineRule="auto"/>
        <w:ind w:left="0" w:firstLine="480"/>
      </w:pPr>
      <w:r>
        <w:rPr>
          <w:rFonts w:hint="eastAsia"/>
          <w:lang w:eastAsia="zh-CN"/>
        </w:rPr>
        <w:t>投标人</w:t>
      </w:r>
      <w:r>
        <w:t>负责施工供电系统投运至主体施工单位进场前（暂定2025年9月）期间的管理。</w:t>
      </w:r>
    </w:p>
    <w:p w14:paraId="286B6A47">
      <w:pPr>
        <w:adjustRightInd w:val="0"/>
        <w:spacing w:line="360" w:lineRule="auto"/>
        <w:ind w:firstLine="480"/>
      </w:pPr>
      <w:r>
        <w:t>（二）施工供电技术及施工要求</w:t>
      </w:r>
    </w:p>
    <w:p w14:paraId="3BE7DE57">
      <w:pPr>
        <w:pStyle w:val="74"/>
        <w:numPr>
          <w:ilvl w:val="0"/>
          <w:numId w:val="20"/>
        </w:numPr>
        <w:adjustRightInd w:val="0"/>
        <w:snapToGrid w:val="0"/>
        <w:spacing w:line="360" w:lineRule="auto"/>
        <w:ind w:left="0" w:firstLine="480"/>
      </w:pPr>
      <w:r>
        <w:t>一般要求</w:t>
      </w:r>
    </w:p>
    <w:p w14:paraId="6913516B">
      <w:pPr>
        <w:adjustRightInd w:val="0"/>
        <w:spacing w:line="360" w:lineRule="auto"/>
        <w:ind w:firstLine="480"/>
      </w:pPr>
      <w:r>
        <w:t>（1）室外埋地敷设的电缆导管，深埋不应小于0.7m。壁厚≤2mm的钢电线导管不应埋设于室外土壤内。施工供电电缆采用ZR－YJV22电力电缆,室外电缆如采用直埋敷设方式，直埋敷设的具体制作要求见国家建筑标准设计图集《110kV及以下电缆敷设》(12D101-5)中的《电缆直埋敷设》。图集中电缆壕沟底部宽度L=400mm，壕沟深度h=1200mm，电缆埋深1000mm。</w:t>
      </w:r>
    </w:p>
    <w:p w14:paraId="01A38CAE">
      <w:pPr>
        <w:adjustRightInd w:val="0"/>
        <w:spacing w:line="360" w:lineRule="auto"/>
        <w:ind w:firstLine="480"/>
      </w:pPr>
      <w:r>
        <w:t>（2）室外导管的管口应设置在盒、箱内。在落地式配电箱内的管口，箱底无封板的，管口应高出基础面50-80mm。所有管口在穿入电线、电缆后应做密封处理。</w:t>
      </w:r>
    </w:p>
    <w:p w14:paraId="318FD681">
      <w:pPr>
        <w:adjustRightInd w:val="0"/>
        <w:spacing w:line="360" w:lineRule="auto"/>
        <w:ind w:firstLine="480"/>
      </w:pPr>
      <w:r>
        <w:t>（3）电缆导管的弯曲半径不应小于电缆最小允许弯曲半径；电缆最小允许弯曲半径应符合规范要求。</w:t>
      </w:r>
    </w:p>
    <w:p w14:paraId="10AE3259">
      <w:pPr>
        <w:adjustRightInd w:val="0"/>
        <w:spacing w:line="360" w:lineRule="auto"/>
        <w:ind w:firstLine="480"/>
      </w:pPr>
      <w:r>
        <w:t>（4）线槽应安装牢固，无扭曲变形，紧固件的螺母应在线槽外侧。</w:t>
      </w:r>
    </w:p>
    <w:p w14:paraId="3569AB05">
      <w:pPr>
        <w:adjustRightInd w:val="0"/>
        <w:spacing w:line="360" w:lineRule="auto"/>
        <w:ind w:firstLine="480"/>
      </w:pPr>
      <w:r>
        <w:t>（5）暗敷的导管，埋设深度与建筑物、构件物表面的距离不应小于15mm；明敷的导管应排列整齐，固定点间距均匀，安装牢固；在终端、弯头中点或柜、台、箱、盘等边缘的距离150~500mm范围内设有管卡、中间直线段卡间的最大距离应符合规范要求。</w:t>
      </w:r>
    </w:p>
    <w:p w14:paraId="5D9E09DA">
      <w:pPr>
        <w:adjustRightInd w:val="0"/>
        <w:spacing w:line="360" w:lineRule="auto"/>
        <w:ind w:firstLine="480"/>
      </w:pPr>
      <w:r>
        <w:t>（6）配套盘箱柜应保证规格标准化，绝缘良好，并能在低温、潮湿、高盐雾、粉尘大的环境中正常工作。户外控制箱防护等级IP56（防腐），户内控制箱防护等级IP54。</w:t>
      </w:r>
    </w:p>
    <w:p w14:paraId="283F9376">
      <w:pPr>
        <w:adjustRightInd w:val="0"/>
        <w:spacing w:line="360" w:lineRule="auto"/>
        <w:ind w:firstLine="480"/>
      </w:pPr>
      <w:r>
        <w:t>（7）柜、箱体材质：为了满足防盐雾要求，所有室外盘箱柜统一采用316L不锈钢材质。落地柜用2.0mm厚钢板制作，照明配电箱及控制箱大于等于600mm的用2.0mm厚钢板、小于600mm的用1.5mm厚钢板制做。二层底板需用2mm厚钢板。不锈钢外壳色彩采用不锈钢本色。</w:t>
      </w:r>
    </w:p>
    <w:p w14:paraId="62940389">
      <w:pPr>
        <w:adjustRightInd w:val="0"/>
        <w:spacing w:line="360" w:lineRule="auto"/>
        <w:ind w:firstLine="480"/>
      </w:pPr>
      <w:r>
        <w:t>（8）空间：机柜内的端子排应布置在易于安装接线的地方，即为离柜底300mm以上和距柜顶150mm以下。盘柜内接线规范整齐，应预留充足的空间，能方便地接线、汇线和布线；所有接线端子柜应合理配置电缆布线空间，确保所有电缆接线完成后柜内仍留有至少15%的富余空间。所有的端子接线，必须整齐有序，纵向无偏差，横向无偏差。</w:t>
      </w:r>
    </w:p>
    <w:p w14:paraId="798FE746">
      <w:pPr>
        <w:adjustRightInd w:val="0"/>
        <w:spacing w:line="360" w:lineRule="auto"/>
        <w:ind w:firstLine="480"/>
      </w:pPr>
      <w:r>
        <w:t>（9）电缆保护：随系统配供的电缆至设备端子箱（接口点）采用金塑软管，并保证接口严密与牢靠、美观。</w:t>
      </w:r>
    </w:p>
    <w:p w14:paraId="34B61A5B">
      <w:pPr>
        <w:pStyle w:val="74"/>
        <w:numPr>
          <w:ilvl w:val="0"/>
          <w:numId w:val="20"/>
        </w:numPr>
        <w:adjustRightInd w:val="0"/>
        <w:snapToGrid w:val="0"/>
        <w:spacing w:line="360" w:lineRule="auto"/>
        <w:ind w:left="0" w:firstLine="480"/>
      </w:pPr>
      <w:r>
        <w:t>电缆要求</w:t>
      </w:r>
    </w:p>
    <w:p w14:paraId="76AA3DC6">
      <w:pPr>
        <w:autoSpaceDE w:val="0"/>
        <w:autoSpaceDN w:val="0"/>
        <w:adjustRightInd w:val="0"/>
        <w:spacing w:line="360" w:lineRule="auto"/>
        <w:ind w:firstLine="480"/>
      </w:pPr>
      <w:r>
        <w:t>（1）电缆连接装置</w:t>
      </w:r>
    </w:p>
    <w:p w14:paraId="0E214892">
      <w:pPr>
        <w:autoSpaceDE w:val="0"/>
        <w:autoSpaceDN w:val="0"/>
        <w:adjustRightInd w:val="0"/>
        <w:spacing w:line="360" w:lineRule="auto"/>
        <w:ind w:firstLine="480"/>
      </w:pPr>
      <w:r>
        <w:t>0.4kV动力电缆及控制电缆没有中间接头。</w:t>
      </w:r>
    </w:p>
    <w:p w14:paraId="2E042744">
      <w:pPr>
        <w:adjustRightInd w:val="0"/>
        <w:spacing w:line="360" w:lineRule="auto"/>
        <w:ind w:firstLine="480"/>
      </w:pPr>
      <w:r>
        <w:t>0.4kV动力电缆的终端采用终端接头。</w:t>
      </w:r>
    </w:p>
    <w:p w14:paraId="42A40FDB">
      <w:pPr>
        <w:adjustRightInd w:val="0"/>
        <w:spacing w:line="360" w:lineRule="auto"/>
        <w:ind w:firstLine="480"/>
      </w:pPr>
      <w:r>
        <w:t>施工供电10kV电缆中间接头采用电缆分支箱方式。</w:t>
      </w:r>
    </w:p>
    <w:p w14:paraId="63F84A1E">
      <w:pPr>
        <w:autoSpaceDE w:val="0"/>
        <w:autoSpaceDN w:val="0"/>
        <w:adjustRightInd w:val="0"/>
        <w:spacing w:line="360" w:lineRule="auto"/>
        <w:ind w:firstLine="480"/>
      </w:pPr>
      <w:r>
        <w:t>（2）电缆设施</w:t>
      </w:r>
    </w:p>
    <w:p w14:paraId="04D36FE8">
      <w:pPr>
        <w:adjustRightInd w:val="0"/>
        <w:spacing w:line="360" w:lineRule="auto"/>
        <w:ind w:firstLine="480"/>
      </w:pPr>
      <w:r>
        <w:t>电缆设施应符合相关的标准和规范。</w:t>
      </w:r>
    </w:p>
    <w:p w14:paraId="7E53DAAA">
      <w:pPr>
        <w:adjustRightInd w:val="0"/>
        <w:spacing w:line="360" w:lineRule="auto"/>
        <w:ind w:firstLine="480"/>
      </w:pPr>
      <w:r>
        <w:t>所有电缆应具有较好的电气性能，机械物理性能以及不延燃性，所有电缆均为阻燃电缆。</w:t>
      </w:r>
    </w:p>
    <w:p w14:paraId="63093EA8">
      <w:pPr>
        <w:autoSpaceDE w:val="0"/>
        <w:autoSpaceDN w:val="0"/>
        <w:adjustRightInd w:val="0"/>
        <w:spacing w:line="360" w:lineRule="auto"/>
        <w:ind w:firstLine="480"/>
      </w:pPr>
      <w:r>
        <w:t>（3）电缆防火阻燃</w:t>
      </w:r>
    </w:p>
    <w:p w14:paraId="43934DA9">
      <w:pPr>
        <w:adjustRightInd w:val="0"/>
        <w:spacing w:line="360" w:lineRule="auto"/>
        <w:ind w:firstLine="480"/>
      </w:pPr>
      <w:r>
        <w:t>依据有关标准和规范，电缆有防火阻燃措施。</w:t>
      </w:r>
    </w:p>
    <w:p w14:paraId="4F59B867">
      <w:pPr>
        <w:pStyle w:val="74"/>
        <w:numPr>
          <w:ilvl w:val="0"/>
          <w:numId w:val="20"/>
        </w:numPr>
        <w:adjustRightInd w:val="0"/>
        <w:snapToGrid w:val="0"/>
        <w:spacing w:line="360" w:lineRule="auto"/>
        <w:ind w:left="0" w:firstLine="480"/>
      </w:pPr>
      <w:r>
        <w:t>施工技术要求</w:t>
      </w:r>
    </w:p>
    <w:p w14:paraId="0193ECE0">
      <w:pPr>
        <w:adjustRightInd w:val="0"/>
        <w:spacing w:line="360" w:lineRule="auto"/>
        <w:ind w:firstLine="480"/>
      </w:pPr>
      <w:r>
        <w:t>（1）电缆头制作</w:t>
      </w:r>
    </w:p>
    <w:p w14:paraId="54182B71">
      <w:pPr>
        <w:adjustRightInd w:val="0"/>
        <w:spacing w:line="360" w:lineRule="auto"/>
        <w:ind w:firstLine="480"/>
      </w:pPr>
      <w:r>
        <w:t>电缆在接线前，按施工图核对其型号规格，确认正确无误后再进行整理。电缆在上盘前，在电缆架上留适当余量，垂度尽可能统一，再绑扎整齐。其方法见示意图：</w:t>
      </w:r>
    </w:p>
    <w:p w14:paraId="19EE3DEF">
      <w:pPr>
        <w:autoSpaceDE w:val="0"/>
        <w:autoSpaceDN w:val="0"/>
        <w:adjustRightInd w:val="0"/>
        <w:spacing w:line="360" w:lineRule="auto"/>
        <w:ind w:firstLine="0" w:firstLineChars="0"/>
        <w:jc w:val="center"/>
      </w:pPr>
      <w:r>
        <w:drawing>
          <wp:inline distT="0" distB="0" distL="0" distR="0">
            <wp:extent cx="3387090" cy="2091690"/>
            <wp:effectExtent l="0" t="0" r="3810" b="3810"/>
            <wp:docPr id="69" name="图片 1" descr="Image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 descr="Image00000"/>
                    <pic:cNvPicPr>
                      <a:picLocks noChangeAspect="1"/>
                    </pic:cNvPicPr>
                  </pic:nvPicPr>
                  <pic:blipFill>
                    <a:blip r:embed="rId15"/>
                    <a:stretch>
                      <a:fillRect/>
                    </a:stretch>
                  </pic:blipFill>
                  <pic:spPr>
                    <a:xfrm>
                      <a:off x="0" y="0"/>
                      <a:ext cx="3387090" cy="2091690"/>
                    </a:xfrm>
                    <a:prstGeom prst="rect">
                      <a:avLst/>
                    </a:prstGeom>
                    <a:noFill/>
                    <a:ln>
                      <a:noFill/>
                    </a:ln>
                  </pic:spPr>
                </pic:pic>
              </a:graphicData>
            </a:graphic>
          </wp:inline>
        </w:drawing>
      </w:r>
    </w:p>
    <w:p w14:paraId="45BE1862">
      <w:pPr>
        <w:adjustRightInd w:val="0"/>
        <w:spacing w:line="360" w:lineRule="auto"/>
        <w:ind w:firstLine="480"/>
      </w:pPr>
      <w:r>
        <w:t>（2）低压电缆头</w:t>
      </w:r>
    </w:p>
    <w:p w14:paraId="2AF64ADA">
      <w:pPr>
        <w:adjustRightInd w:val="0"/>
        <w:spacing w:line="360" w:lineRule="auto"/>
        <w:ind w:firstLine="480"/>
      </w:pPr>
      <w:r>
        <w:t>低压电缆头施工步骤：摇测电缆绝缘→剥开电缆头→包缠电缆、套电缆终端头→压电缆芯线接线鼻子→与设备器具连接。</w:t>
      </w:r>
    </w:p>
    <w:p w14:paraId="231087EB">
      <w:pPr>
        <w:adjustRightInd w:val="0"/>
        <w:spacing w:line="360" w:lineRule="auto"/>
        <w:ind w:firstLine="480"/>
      </w:pPr>
      <w:r>
        <w:t>1）摇测电缆绝缘</w:t>
      </w:r>
    </w:p>
    <w:p w14:paraId="2A7D85AB">
      <w:pPr>
        <w:adjustRightInd w:val="0"/>
        <w:spacing w:line="360" w:lineRule="auto"/>
        <w:ind w:firstLine="480"/>
      </w:pPr>
      <w:r>
        <w:t>选用1kV摇表对电缆进行摇测，绝缘电阻应大于10MΩ。</w:t>
      </w:r>
    </w:p>
    <w:p w14:paraId="4CE63070">
      <w:pPr>
        <w:adjustRightInd w:val="0"/>
        <w:spacing w:line="360" w:lineRule="auto"/>
        <w:ind w:firstLine="480"/>
      </w:pPr>
      <w:r>
        <w:t>电缆摇测完毕后，应将芯线分别对地放电。</w:t>
      </w:r>
    </w:p>
    <w:p w14:paraId="15103323">
      <w:pPr>
        <w:adjustRightInd w:val="0"/>
        <w:spacing w:line="360" w:lineRule="auto"/>
        <w:ind w:firstLine="480"/>
      </w:pPr>
      <w:r>
        <w:t>2）包缠电缆，套电缆终端头套剥去电缆外包绝缘层，将电缆头套下部先套入电缆。根据电缆头的型号尺寸，按照电缆头套长度和内径，用塑料带采用半叠法包缠电缆。塑料带包缠应紧密，形状呈枣核状。将电缆头套上部套上，与下部对接、套严。</w:t>
      </w:r>
    </w:p>
    <w:p w14:paraId="041E789A">
      <w:pPr>
        <w:adjustRightInd w:val="0"/>
        <w:spacing w:line="360" w:lineRule="auto"/>
        <w:ind w:firstLine="480"/>
      </w:pPr>
      <w:r>
        <w:t>3）压电缆芯线接线鼻子</w:t>
      </w:r>
    </w:p>
    <w:p w14:paraId="7294F302">
      <w:pPr>
        <w:adjustRightInd w:val="0"/>
        <w:spacing w:line="360" w:lineRule="auto"/>
        <w:ind w:firstLine="480"/>
      </w:pPr>
      <w:r>
        <w:t>从芯线端头量出长度为线鼻子的深度，另加5mm，剥去电缆芯线绝缘，并在芯线上涂上凡士林。</w:t>
      </w:r>
    </w:p>
    <w:p w14:paraId="4592E334">
      <w:pPr>
        <w:adjustRightInd w:val="0"/>
        <w:spacing w:line="360" w:lineRule="auto"/>
        <w:ind w:firstLine="480"/>
      </w:pPr>
      <w:r>
        <w:t>将线芯插入接线鼻子内，用压线钳子压紧接线鼻子，压接坑应在两道以上。大规格接线端子应采用液压机械压接。</w:t>
      </w:r>
    </w:p>
    <w:p w14:paraId="232E8A77">
      <w:pPr>
        <w:adjustRightInd w:val="0"/>
        <w:spacing w:line="360" w:lineRule="auto"/>
        <w:ind w:firstLine="480"/>
      </w:pPr>
      <w:r>
        <w:t>根据不同的相位，使用黄、绿、红、四色塑料带分别包缠电缆各芯线至接线鼻子的压接部位。</w:t>
      </w:r>
    </w:p>
    <w:p w14:paraId="01B247EA">
      <w:pPr>
        <w:adjustRightInd w:val="0"/>
        <w:spacing w:line="360" w:lineRule="auto"/>
        <w:ind w:firstLine="480"/>
      </w:pPr>
      <w:r>
        <w:t>将做好终端头的电缆固定在预先做好的电缆头支架上，并将芯线分开。</w:t>
      </w:r>
    </w:p>
    <w:p w14:paraId="386C69F2">
      <w:pPr>
        <w:adjustRightInd w:val="0"/>
        <w:spacing w:line="360" w:lineRule="auto"/>
        <w:ind w:firstLine="480"/>
      </w:pPr>
      <w:r>
        <w:t>4）与设备器具连接</w:t>
      </w:r>
    </w:p>
    <w:p w14:paraId="0F041A8D">
      <w:pPr>
        <w:adjustRightInd w:val="0"/>
        <w:spacing w:line="360" w:lineRule="auto"/>
        <w:ind w:firstLine="480"/>
      </w:pPr>
      <w:r>
        <w:t>根据接线端子的型号，选用螺栓将电缆接线端子压接在设备上，注意应使螺栓由上向下或从内到外穿，平垫和弹簧应安装齐全。</w:t>
      </w:r>
    </w:p>
    <w:p w14:paraId="65405D0D">
      <w:pPr>
        <w:adjustRightInd w:val="0"/>
        <w:spacing w:line="360" w:lineRule="auto"/>
        <w:ind w:firstLine="480"/>
      </w:pPr>
      <w:r>
        <w:t>（3）高压电缆头</w:t>
      </w:r>
    </w:p>
    <w:p w14:paraId="2B9F7922">
      <w:pPr>
        <w:adjustRightInd w:val="0"/>
        <w:spacing w:line="360" w:lineRule="auto"/>
        <w:ind w:firstLine="480"/>
      </w:pPr>
      <w:r>
        <w:t>为保证制作电缆终端头万无一失，高压电缆头须进行绝缘电阻测试和直流耐压试验。</w:t>
      </w:r>
      <w:r>
        <w:rPr>
          <w:rFonts w:hint="eastAsia"/>
        </w:rPr>
        <w:t>耐克森，</w:t>
      </w:r>
      <w:r>
        <w:t>KP</w:t>
      </w:r>
      <w:r>
        <w:rPr>
          <w:rFonts w:hint="eastAsia"/>
        </w:rPr>
        <w:t>，ABB或相当于。</w:t>
      </w:r>
    </w:p>
    <w:p w14:paraId="79C41445">
      <w:pPr>
        <w:adjustRightInd w:val="0"/>
        <w:spacing w:line="360" w:lineRule="auto"/>
        <w:ind w:firstLine="480"/>
      </w:pPr>
      <w:r>
        <w:t>（4）电缆高压试验</w:t>
      </w:r>
    </w:p>
    <w:p w14:paraId="4634BF35">
      <w:pPr>
        <w:adjustRightInd w:val="0"/>
        <w:spacing w:line="360" w:lineRule="auto"/>
        <w:ind w:firstLine="480"/>
      </w:pPr>
      <w:r>
        <w:t>1）电缆绝缘电阻测量</w:t>
      </w:r>
    </w:p>
    <w:p w14:paraId="48412C55">
      <w:pPr>
        <w:adjustRightInd w:val="0"/>
        <w:spacing w:line="360" w:lineRule="auto"/>
        <w:ind w:firstLine="480"/>
      </w:pPr>
      <w:r>
        <w:t>对1000V以下的电缆测量时用1000V兆欧表，对10kV及以上电缆用2500V兆欧表。橡塑绝缘电力电缆的绝缘电阻很低时，应用万用表正、反接线分别测屏蔽层对铠装、铠装层对地的直流电阻，以检查电缆是否受潮。</w:t>
      </w:r>
    </w:p>
    <w:p w14:paraId="78EEF155">
      <w:pPr>
        <w:adjustRightInd w:val="0"/>
        <w:spacing w:line="360" w:lineRule="auto"/>
        <w:ind w:firstLine="480"/>
      </w:pPr>
      <w:r>
        <w:t>2）电缆交流耐压试验的方法</w:t>
      </w:r>
    </w:p>
    <w:p w14:paraId="2EFF899D">
      <w:pPr>
        <w:adjustRightInd w:val="0"/>
        <w:spacing w:line="360" w:lineRule="auto"/>
        <w:ind w:firstLine="480"/>
      </w:pPr>
      <w:r>
        <w:t>电力电缆一般都有比较大的电容量，在交流试验电压下呈现一个电容负载，长电力电缆要求容量很大的交流试验设备及试验电源。为了使较小容量的试验电源达到试验的目的，采用0.1HZ超低频方法进行试验。</w:t>
      </w:r>
    </w:p>
    <w:p w14:paraId="45A1D5CF">
      <w:pPr>
        <w:adjustRightInd w:val="0"/>
        <w:spacing w:line="360" w:lineRule="auto"/>
        <w:ind w:firstLine="480"/>
      </w:pPr>
      <w:r>
        <w:t>（5）电缆交流耐压试验方法及数据核实：</w:t>
      </w:r>
    </w:p>
    <w:p w14:paraId="6D9A62EF">
      <w:pPr>
        <w:adjustRightInd w:val="0"/>
        <w:spacing w:line="360" w:lineRule="auto"/>
        <w:ind w:firstLine="480"/>
      </w:pPr>
      <w:r>
        <w:t>电力电缆试验</w:t>
      </w:r>
    </w:p>
    <w:p w14:paraId="0CC24029">
      <w:pPr>
        <w:adjustRightInd w:val="0"/>
        <w:spacing w:line="360" w:lineRule="auto"/>
        <w:ind w:firstLine="480"/>
      </w:pPr>
      <w:r>
        <w:t>1）相序检查</w:t>
      </w:r>
    </w:p>
    <w:p w14:paraId="290CBEE4">
      <w:pPr>
        <w:adjustRightInd w:val="0"/>
        <w:spacing w:line="360" w:lineRule="auto"/>
        <w:ind w:firstLine="480"/>
      </w:pPr>
      <w:r>
        <w:t>用万用表核对安装位置并检查相序，电缆两端的相色标志应一致。</w:t>
      </w:r>
    </w:p>
    <w:p w14:paraId="11AD63F9">
      <w:pPr>
        <w:adjustRightInd w:val="0"/>
        <w:spacing w:line="360" w:lineRule="auto"/>
        <w:ind w:firstLine="480"/>
      </w:pPr>
      <w:r>
        <w:t>2）绝缘电阻测量</w:t>
      </w:r>
    </w:p>
    <w:p w14:paraId="7EEDB611">
      <w:pPr>
        <w:adjustRightInd w:val="0"/>
        <w:spacing w:line="360" w:lineRule="auto"/>
        <w:ind w:firstLine="480"/>
      </w:pPr>
      <w:r>
        <w:t>用2500V兆欧表检查主绝缘，用500V兆欧表检查屏蔽层对地绝缘。</w:t>
      </w:r>
    </w:p>
    <w:p w14:paraId="7A8657AF">
      <w:pPr>
        <w:adjustRightInd w:val="0"/>
        <w:spacing w:line="360" w:lineRule="auto"/>
        <w:ind w:firstLine="480"/>
      </w:pPr>
      <w:r>
        <w:t>3）直流电阻测量用变压器直流电阻测试仪测量主导体和屏蔽层的直流电阻，计算屏蔽层与主导体的电阻比。</w:t>
      </w:r>
    </w:p>
    <w:p w14:paraId="2C016CCB">
      <w:pPr>
        <w:adjustRightInd w:val="0"/>
        <w:spacing w:line="360" w:lineRule="auto"/>
        <w:ind w:firstLine="480"/>
      </w:pPr>
      <w:r>
        <w:t>4）交流耐压试验</w:t>
      </w:r>
    </w:p>
    <w:p w14:paraId="11E1968D">
      <w:pPr>
        <w:adjustRightInd w:val="0"/>
        <w:spacing w:line="360" w:lineRule="auto"/>
        <w:ind w:firstLine="480"/>
      </w:pPr>
      <w:r>
        <w:t>使用谐振交流耐压设备进行试验，试验频率范围为20Hz～300Hz。进行试验前确定运行状态下额定电压，试验电压严格执行电气设备交接试验标准，测量被试电缆绝缘电阻合格后方可进行试验，试验相悬空并保证足够的安全距离，其它两相导体、金属屏蔽或金属套和铠装层一起接地。试验设备确保接地可靠，电缆两侧用试验区域用安全围栏围好并悬挂“止步，高压危险”，并派人专人看护。试验过程中发生试验设备闪络保护动作跳闸，未查明原因不能重新进行试验。</w:t>
      </w:r>
    </w:p>
    <w:p w14:paraId="120F25DA">
      <w:pPr>
        <w:pStyle w:val="74"/>
        <w:numPr>
          <w:ilvl w:val="0"/>
          <w:numId w:val="20"/>
        </w:numPr>
        <w:adjustRightInd w:val="0"/>
        <w:snapToGrid w:val="0"/>
        <w:spacing w:line="360" w:lineRule="auto"/>
        <w:ind w:left="0" w:firstLine="480"/>
      </w:pPr>
      <w:r>
        <w:t>箱式变电站设备技术性能</w:t>
      </w:r>
    </w:p>
    <w:p w14:paraId="3E36BC6B">
      <w:pPr>
        <w:adjustRightInd w:val="0"/>
        <w:spacing w:line="360" w:lineRule="auto"/>
        <w:ind w:firstLine="480"/>
      </w:pPr>
      <w:r>
        <w:t>本次采购的箱式变电站由变压器室和低压开关室两大部分组成，干式变压器不低于二级能效。</w:t>
      </w:r>
    </w:p>
    <w:p w14:paraId="02BAD00F">
      <w:pPr>
        <w:adjustRightInd w:val="0"/>
        <w:spacing w:line="360" w:lineRule="auto"/>
        <w:ind w:firstLine="480"/>
      </w:pPr>
      <w:r>
        <w:rPr>
          <w:rFonts w:hint="eastAsia"/>
        </w:rPr>
        <w:t>10kV变压器技术参数和要求</w:t>
      </w:r>
    </w:p>
    <w:p w14:paraId="3ACB8EAB">
      <w:pPr>
        <w:adjustRightInd w:val="0"/>
        <w:spacing w:line="360" w:lineRule="auto"/>
        <w:ind w:firstLine="480"/>
      </w:pPr>
      <w:r>
        <w:rPr>
          <w:rFonts w:hint="eastAsia"/>
        </w:rPr>
        <w:t>800kVA干式变压器的生产厂家采用广东顺特，海南金盘，保定天威顺达或相当于。</w:t>
      </w:r>
    </w:p>
    <w:p w14:paraId="4CAFCB9F">
      <w:pPr>
        <w:adjustRightInd w:val="0"/>
        <w:spacing w:line="360" w:lineRule="auto"/>
        <w:ind w:firstLine="480"/>
      </w:pPr>
      <w:r>
        <w:rPr>
          <w:rFonts w:hint="eastAsia"/>
        </w:rPr>
        <w:t>变压器型号：    SCB14-800/10</w:t>
      </w:r>
    </w:p>
    <w:p w14:paraId="0FC5076F">
      <w:pPr>
        <w:adjustRightInd w:val="0"/>
        <w:spacing w:line="360" w:lineRule="auto"/>
        <w:ind w:firstLine="480"/>
      </w:pPr>
      <w:r>
        <w:rPr>
          <w:rFonts w:hint="eastAsia"/>
        </w:rPr>
        <w:t>变压器性能：    干式、自冷、全密封、低损耗</w:t>
      </w:r>
    </w:p>
    <w:p w14:paraId="36F09DAB">
      <w:pPr>
        <w:adjustRightInd w:val="0"/>
        <w:spacing w:line="360" w:lineRule="auto"/>
        <w:ind w:firstLine="480"/>
      </w:pPr>
      <w:r>
        <w:rPr>
          <w:rFonts w:hint="eastAsia"/>
        </w:rPr>
        <w:t>额定容量：      800kVA</w:t>
      </w:r>
    </w:p>
    <w:p w14:paraId="3D8109E0">
      <w:pPr>
        <w:adjustRightInd w:val="0"/>
        <w:spacing w:line="360" w:lineRule="auto"/>
        <w:ind w:firstLine="480"/>
      </w:pPr>
      <w:r>
        <w:rPr>
          <w:rFonts w:hint="eastAsia"/>
        </w:rPr>
        <w:t>额定电压：      10±2×2.5%/0.4kV</w:t>
      </w:r>
    </w:p>
    <w:p w14:paraId="5D0DD2E6">
      <w:pPr>
        <w:adjustRightInd w:val="0"/>
        <w:spacing w:line="360" w:lineRule="auto"/>
        <w:ind w:firstLine="480"/>
      </w:pPr>
      <w:r>
        <w:rPr>
          <w:rFonts w:hint="eastAsia"/>
        </w:rPr>
        <w:t>额定频率：      50Hz</w:t>
      </w:r>
    </w:p>
    <w:p w14:paraId="203F8EF2">
      <w:pPr>
        <w:adjustRightInd w:val="0"/>
        <w:spacing w:line="360" w:lineRule="auto"/>
        <w:ind w:firstLine="480"/>
      </w:pPr>
      <w:r>
        <w:rPr>
          <w:rFonts w:hint="eastAsia"/>
        </w:rPr>
        <w:t>联接组标号：    D,yn11</w:t>
      </w:r>
    </w:p>
    <w:p w14:paraId="3201059C">
      <w:pPr>
        <w:adjustRightInd w:val="0"/>
        <w:spacing w:line="360" w:lineRule="auto"/>
        <w:ind w:firstLine="480"/>
      </w:pPr>
      <w:r>
        <w:rPr>
          <w:rFonts w:hint="eastAsia"/>
        </w:rPr>
        <w:t>阻抗电压：      6%</w:t>
      </w:r>
    </w:p>
    <w:p w14:paraId="155BA242">
      <w:pPr>
        <w:adjustRightInd w:val="0"/>
        <w:spacing w:line="360" w:lineRule="auto"/>
        <w:ind w:firstLine="480"/>
      </w:pPr>
      <w:r>
        <w:rPr>
          <w:rFonts w:hint="eastAsia"/>
        </w:rPr>
        <w:t>噪声水平：      ≤55dB</w:t>
      </w:r>
      <w:r>
        <w:t xml:space="preserve"> </w:t>
      </w:r>
    </w:p>
    <w:p w14:paraId="419B72F7">
      <w:pPr>
        <w:adjustRightInd w:val="0"/>
        <w:spacing w:line="360" w:lineRule="auto"/>
        <w:ind w:firstLine="480"/>
      </w:pPr>
    </w:p>
    <w:p w14:paraId="510B5A21">
      <w:pPr>
        <w:adjustRightInd w:val="0"/>
        <w:spacing w:line="360" w:lineRule="auto"/>
        <w:ind w:firstLine="480"/>
      </w:pPr>
      <w:r>
        <w:t>400kVA干式变压器的生产厂家采用广东顺特，海南金盘，保定天威顺达或相当于。</w:t>
      </w:r>
    </w:p>
    <w:p w14:paraId="7665F9FE">
      <w:pPr>
        <w:adjustRightInd w:val="0"/>
        <w:spacing w:line="360" w:lineRule="auto"/>
        <w:ind w:firstLine="480"/>
      </w:pPr>
      <w:r>
        <w:t>变压器型号：    SCB14-400/10</w:t>
      </w:r>
    </w:p>
    <w:p w14:paraId="061BA93E">
      <w:pPr>
        <w:adjustRightInd w:val="0"/>
        <w:spacing w:line="360" w:lineRule="auto"/>
        <w:ind w:firstLine="480"/>
      </w:pPr>
      <w:r>
        <w:t>变压器性能：    干式、自冷、全密封、低损耗</w:t>
      </w:r>
    </w:p>
    <w:p w14:paraId="45406ECF">
      <w:pPr>
        <w:adjustRightInd w:val="0"/>
        <w:spacing w:line="360" w:lineRule="auto"/>
        <w:ind w:firstLine="480"/>
      </w:pPr>
      <w:r>
        <w:t>额定容量：      400kVA</w:t>
      </w:r>
    </w:p>
    <w:p w14:paraId="12DA4911">
      <w:pPr>
        <w:adjustRightInd w:val="0"/>
        <w:spacing w:line="360" w:lineRule="auto"/>
        <w:ind w:firstLine="480"/>
      </w:pPr>
      <w:r>
        <w:t>额定电压：      10±2×2.5%/0.4kV</w:t>
      </w:r>
    </w:p>
    <w:p w14:paraId="003F462E">
      <w:pPr>
        <w:adjustRightInd w:val="0"/>
        <w:spacing w:line="360" w:lineRule="auto"/>
        <w:ind w:firstLine="480"/>
      </w:pPr>
      <w:r>
        <w:t>额定频率：      50Hz</w:t>
      </w:r>
    </w:p>
    <w:p w14:paraId="2E5BE85F">
      <w:pPr>
        <w:adjustRightInd w:val="0"/>
        <w:spacing w:line="360" w:lineRule="auto"/>
        <w:ind w:firstLine="480"/>
      </w:pPr>
      <w:r>
        <w:t>联接组标号：    D,yn11</w:t>
      </w:r>
    </w:p>
    <w:p w14:paraId="02C95F06">
      <w:pPr>
        <w:adjustRightInd w:val="0"/>
        <w:spacing w:line="360" w:lineRule="auto"/>
        <w:ind w:firstLine="480"/>
      </w:pPr>
      <w:r>
        <w:t>阻抗电压：      6%</w:t>
      </w:r>
    </w:p>
    <w:p w14:paraId="1D5CD58A">
      <w:pPr>
        <w:adjustRightInd w:val="0"/>
        <w:spacing w:line="360" w:lineRule="auto"/>
        <w:ind w:firstLine="480"/>
      </w:pPr>
      <w:r>
        <w:t>噪声水平：      ≤55dB</w:t>
      </w:r>
    </w:p>
    <w:p w14:paraId="6F8619B4">
      <w:pPr>
        <w:adjustRightInd w:val="0"/>
        <w:spacing w:line="360" w:lineRule="auto"/>
        <w:ind w:firstLine="480"/>
      </w:pPr>
    </w:p>
    <w:p w14:paraId="2B15E557">
      <w:pPr>
        <w:adjustRightInd w:val="0"/>
        <w:spacing w:line="360" w:lineRule="auto"/>
        <w:ind w:firstLine="480"/>
      </w:pPr>
      <w:r>
        <w:rPr>
          <w:rFonts w:hint="eastAsia"/>
          <w:lang w:val="en-US" w:eastAsia="zh-CN"/>
        </w:rPr>
        <w:t xml:space="preserve">表5.6.2-3            </w:t>
      </w:r>
      <w:r>
        <w:t>变压器绝缘水平（kV）：</w:t>
      </w:r>
    </w:p>
    <w:tbl>
      <w:tblPr>
        <w:tblStyle w:val="28"/>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681"/>
        <w:gridCol w:w="1915"/>
        <w:gridCol w:w="2858"/>
        <w:gridCol w:w="2832"/>
      </w:tblGrid>
      <w:tr w14:paraId="6F8E30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905" w:type="pct"/>
            <w:vAlign w:val="center"/>
          </w:tcPr>
          <w:p w14:paraId="22425D24">
            <w:pPr>
              <w:adjustRightInd w:val="0"/>
              <w:spacing w:line="240" w:lineRule="auto"/>
              <w:ind w:firstLine="0" w:firstLineChars="0"/>
              <w:jc w:val="center"/>
            </w:pPr>
            <w:r>
              <w:t>额定电压（有效值 ，kV）</w:t>
            </w:r>
          </w:p>
        </w:tc>
        <w:tc>
          <w:tcPr>
            <w:tcW w:w="1031" w:type="pct"/>
            <w:vAlign w:val="center"/>
          </w:tcPr>
          <w:p w14:paraId="52EAD985">
            <w:pPr>
              <w:adjustRightInd w:val="0"/>
              <w:spacing w:line="240" w:lineRule="auto"/>
              <w:ind w:firstLine="0" w:firstLineChars="0"/>
              <w:jc w:val="center"/>
            </w:pPr>
            <w:r>
              <w:t>设备最高电压（有效值，kV）</w:t>
            </w:r>
          </w:p>
        </w:tc>
        <w:tc>
          <w:tcPr>
            <w:tcW w:w="1539" w:type="pct"/>
            <w:vAlign w:val="center"/>
          </w:tcPr>
          <w:p w14:paraId="33CF488F">
            <w:pPr>
              <w:adjustRightInd w:val="0"/>
              <w:spacing w:line="240" w:lineRule="auto"/>
              <w:ind w:firstLine="0" w:firstLineChars="0"/>
              <w:jc w:val="center"/>
            </w:pPr>
            <w:r>
              <w:t>额定雷电冲击耐受电压</w:t>
            </w:r>
          </w:p>
          <w:p w14:paraId="103F350A">
            <w:pPr>
              <w:adjustRightInd w:val="0"/>
              <w:spacing w:line="240" w:lineRule="auto"/>
              <w:ind w:firstLine="0" w:firstLineChars="0"/>
              <w:jc w:val="center"/>
            </w:pPr>
            <w:r>
              <w:t>（峰值，kV）</w:t>
            </w:r>
          </w:p>
        </w:tc>
        <w:tc>
          <w:tcPr>
            <w:tcW w:w="1525" w:type="pct"/>
            <w:vAlign w:val="center"/>
          </w:tcPr>
          <w:p w14:paraId="7951090C">
            <w:pPr>
              <w:adjustRightInd w:val="0"/>
              <w:spacing w:line="240" w:lineRule="auto"/>
              <w:ind w:firstLine="0" w:firstLineChars="0"/>
              <w:jc w:val="center"/>
            </w:pPr>
            <w:r>
              <w:t>额定短时工频耐受电压</w:t>
            </w:r>
          </w:p>
          <w:p w14:paraId="0D5E047F">
            <w:pPr>
              <w:adjustRightInd w:val="0"/>
              <w:spacing w:line="240" w:lineRule="auto"/>
              <w:ind w:firstLine="0" w:firstLineChars="0"/>
              <w:jc w:val="center"/>
            </w:pPr>
            <w:r>
              <w:t>（1min,有效值，kV）</w:t>
            </w:r>
          </w:p>
        </w:tc>
      </w:tr>
      <w:tr w14:paraId="675A43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905" w:type="pct"/>
          </w:tcPr>
          <w:p w14:paraId="15EE5323">
            <w:pPr>
              <w:adjustRightInd w:val="0"/>
              <w:spacing w:line="240" w:lineRule="auto"/>
              <w:ind w:firstLine="0" w:firstLineChars="0"/>
              <w:jc w:val="center"/>
            </w:pPr>
            <w:r>
              <w:t>10/0.4</w:t>
            </w:r>
          </w:p>
        </w:tc>
        <w:tc>
          <w:tcPr>
            <w:tcW w:w="1031" w:type="pct"/>
          </w:tcPr>
          <w:p w14:paraId="74535B51">
            <w:pPr>
              <w:adjustRightInd w:val="0"/>
              <w:spacing w:line="240" w:lineRule="auto"/>
              <w:ind w:firstLine="0" w:firstLineChars="0"/>
              <w:jc w:val="center"/>
            </w:pPr>
            <w:r>
              <w:t>12</w:t>
            </w:r>
          </w:p>
        </w:tc>
        <w:tc>
          <w:tcPr>
            <w:tcW w:w="1539" w:type="pct"/>
          </w:tcPr>
          <w:p w14:paraId="41B935AF">
            <w:pPr>
              <w:adjustRightInd w:val="0"/>
              <w:spacing w:line="240" w:lineRule="auto"/>
              <w:ind w:firstLine="0" w:firstLineChars="0"/>
              <w:jc w:val="center"/>
            </w:pPr>
            <w:r>
              <w:t>75</w:t>
            </w:r>
          </w:p>
        </w:tc>
        <w:tc>
          <w:tcPr>
            <w:tcW w:w="1525" w:type="pct"/>
          </w:tcPr>
          <w:p w14:paraId="11603631">
            <w:pPr>
              <w:adjustRightInd w:val="0"/>
              <w:spacing w:line="240" w:lineRule="auto"/>
              <w:ind w:firstLine="0" w:firstLineChars="0"/>
              <w:jc w:val="center"/>
            </w:pPr>
            <w:r>
              <w:t>35</w:t>
            </w:r>
          </w:p>
        </w:tc>
      </w:tr>
    </w:tbl>
    <w:p w14:paraId="680591F4">
      <w:pPr>
        <w:adjustRightInd w:val="0"/>
        <w:spacing w:line="360" w:lineRule="auto"/>
        <w:ind w:firstLine="480"/>
      </w:pPr>
    </w:p>
    <w:p w14:paraId="099A03BA">
      <w:pPr>
        <w:adjustRightInd w:val="0"/>
        <w:spacing w:line="360" w:lineRule="auto"/>
        <w:ind w:firstLine="480"/>
      </w:pPr>
      <w:r>
        <w:t>变压器抗短路能力：按现行国标执行，卖方提供承受短路能力的校核计算保证书。</w:t>
      </w:r>
    </w:p>
    <w:p w14:paraId="13F5FB22">
      <w:pPr>
        <w:adjustRightInd w:val="0"/>
        <w:spacing w:line="360" w:lineRule="auto"/>
        <w:ind w:firstLine="480"/>
      </w:pPr>
      <w:r>
        <w:t>其它参数如额定短路耐受电流、额定峰值耐受电流、温升等均按现行国家标准执行。</w:t>
      </w:r>
    </w:p>
    <w:p w14:paraId="40BBF3B6">
      <w:pPr>
        <w:pStyle w:val="74"/>
        <w:numPr>
          <w:ilvl w:val="0"/>
          <w:numId w:val="20"/>
        </w:numPr>
        <w:adjustRightInd w:val="0"/>
        <w:snapToGrid w:val="0"/>
        <w:spacing w:line="360" w:lineRule="auto"/>
        <w:ind w:left="0" w:firstLine="480"/>
      </w:pPr>
      <w:r>
        <w:t>高压室</w:t>
      </w:r>
    </w:p>
    <w:p w14:paraId="435C68B3">
      <w:pPr>
        <w:adjustRightInd w:val="0"/>
        <w:spacing w:line="360" w:lineRule="auto"/>
        <w:ind w:firstLine="480"/>
      </w:pPr>
      <w:r>
        <w:rPr>
          <w:rFonts w:hint="eastAsia"/>
        </w:rPr>
        <w:t>800kVA干式变压器</w:t>
      </w:r>
    </w:p>
    <w:p w14:paraId="622FB915">
      <w:pPr>
        <w:adjustRightInd w:val="0"/>
        <w:spacing w:line="360" w:lineRule="auto"/>
        <w:ind w:firstLine="480"/>
      </w:pPr>
      <w:r>
        <w:rPr>
          <w:rFonts w:hint="eastAsia"/>
        </w:rPr>
        <w:t>额定电压（V）：10000</w:t>
      </w:r>
    </w:p>
    <w:p w14:paraId="7633E38C">
      <w:pPr>
        <w:adjustRightInd w:val="0"/>
        <w:spacing w:line="360" w:lineRule="auto"/>
        <w:ind w:firstLine="480"/>
      </w:pPr>
      <w:r>
        <w:rPr>
          <w:rFonts w:hint="eastAsia"/>
        </w:rPr>
        <w:t>额定容量： 800kVA</w:t>
      </w:r>
    </w:p>
    <w:p w14:paraId="4BA759E4">
      <w:pPr>
        <w:adjustRightInd w:val="0"/>
        <w:spacing w:line="360" w:lineRule="auto"/>
        <w:ind w:firstLine="480"/>
      </w:pPr>
      <w:r>
        <w:rPr>
          <w:rFonts w:hint="eastAsia"/>
        </w:rPr>
        <w:t>主母线材质：铜</w:t>
      </w:r>
    </w:p>
    <w:p w14:paraId="19318750">
      <w:pPr>
        <w:adjustRightInd w:val="0"/>
        <w:spacing w:line="360" w:lineRule="auto"/>
        <w:ind w:firstLine="480"/>
      </w:pPr>
    </w:p>
    <w:p w14:paraId="3C7877A8">
      <w:pPr>
        <w:adjustRightInd w:val="0"/>
        <w:spacing w:line="360" w:lineRule="auto"/>
        <w:ind w:firstLine="480"/>
      </w:pPr>
      <w:r>
        <w:t>400kVA干式变压器</w:t>
      </w:r>
    </w:p>
    <w:p w14:paraId="1F992438">
      <w:pPr>
        <w:adjustRightInd w:val="0"/>
        <w:spacing w:line="360" w:lineRule="auto"/>
        <w:ind w:firstLine="480"/>
      </w:pPr>
      <w:r>
        <w:t>额定电压（V）：10000</w:t>
      </w:r>
    </w:p>
    <w:p w14:paraId="0B094E04">
      <w:pPr>
        <w:adjustRightInd w:val="0"/>
        <w:spacing w:line="360" w:lineRule="auto"/>
        <w:ind w:firstLine="480"/>
      </w:pPr>
      <w:r>
        <w:t>额定容量： 400kVA</w:t>
      </w:r>
    </w:p>
    <w:p w14:paraId="71295FA9">
      <w:pPr>
        <w:adjustRightInd w:val="0"/>
        <w:spacing w:line="360" w:lineRule="auto"/>
        <w:ind w:firstLine="480"/>
      </w:pPr>
      <w:r>
        <w:t>主母线材质：铜</w:t>
      </w:r>
    </w:p>
    <w:p w14:paraId="09BAE718">
      <w:pPr>
        <w:pStyle w:val="74"/>
        <w:numPr>
          <w:ilvl w:val="0"/>
          <w:numId w:val="20"/>
        </w:numPr>
        <w:adjustRightInd w:val="0"/>
        <w:snapToGrid w:val="0"/>
        <w:spacing w:line="360" w:lineRule="auto"/>
        <w:ind w:left="0" w:firstLine="480"/>
      </w:pPr>
      <w:r>
        <w:t>低压室</w:t>
      </w:r>
    </w:p>
    <w:p w14:paraId="42B5E2F8">
      <w:pPr>
        <w:adjustRightInd w:val="0"/>
        <w:spacing w:line="360" w:lineRule="auto"/>
        <w:ind w:firstLine="480"/>
      </w:pPr>
      <w:r>
        <w:t>1）</w:t>
      </w:r>
      <w:r>
        <w:rPr>
          <w:rFonts w:hint="eastAsia"/>
        </w:rPr>
        <w:t>800kVA干式变压器</w:t>
      </w:r>
    </w:p>
    <w:p w14:paraId="19FEDE4E">
      <w:pPr>
        <w:adjustRightInd w:val="0"/>
        <w:spacing w:line="360" w:lineRule="auto"/>
        <w:ind w:firstLine="480"/>
      </w:pPr>
      <w:r>
        <w:rPr>
          <w:rFonts w:hint="eastAsia"/>
        </w:rPr>
        <w:t>额定电压（V）：380</w:t>
      </w:r>
    </w:p>
    <w:p w14:paraId="0203A089">
      <w:pPr>
        <w:adjustRightInd w:val="0"/>
        <w:spacing w:line="360" w:lineRule="auto"/>
        <w:ind w:firstLine="480"/>
      </w:pPr>
      <w:r>
        <w:rPr>
          <w:rFonts w:hint="eastAsia"/>
        </w:rPr>
        <w:t>主电源进线开关型式：智能框架断路器</w:t>
      </w:r>
    </w:p>
    <w:p w14:paraId="34A606F2">
      <w:pPr>
        <w:adjustRightInd w:val="0"/>
        <w:spacing w:line="360" w:lineRule="auto"/>
        <w:ind w:firstLine="480"/>
      </w:pPr>
      <w:r>
        <w:rPr>
          <w:rFonts w:hint="eastAsia"/>
        </w:rPr>
        <w:t>额定电流（A）：1600</w:t>
      </w:r>
    </w:p>
    <w:p w14:paraId="56771BED">
      <w:pPr>
        <w:adjustRightInd w:val="0"/>
        <w:spacing w:line="360" w:lineRule="auto"/>
        <w:ind w:firstLine="480"/>
      </w:pPr>
      <w:r>
        <w:rPr>
          <w:rFonts w:hint="eastAsia"/>
        </w:rPr>
        <w:t>额定运行短路分段能力Ics（kA）：≥ 50</w:t>
      </w:r>
    </w:p>
    <w:p w14:paraId="5AF8254A">
      <w:pPr>
        <w:adjustRightInd w:val="0"/>
        <w:spacing w:line="360" w:lineRule="auto"/>
        <w:ind w:firstLine="480"/>
      </w:pPr>
      <w:r>
        <w:rPr>
          <w:rFonts w:hint="eastAsia"/>
        </w:rPr>
        <w:t>操作：手动操作也可电动操作</w:t>
      </w:r>
    </w:p>
    <w:p w14:paraId="64A28BFB">
      <w:pPr>
        <w:adjustRightInd w:val="0"/>
        <w:spacing w:line="360" w:lineRule="auto"/>
        <w:ind w:firstLine="480"/>
      </w:pPr>
      <w:r>
        <w:rPr>
          <w:rFonts w:hint="eastAsia"/>
        </w:rPr>
        <w:t>馈线开关型式：智能框架断路器+塑壳断路器</w:t>
      </w:r>
    </w:p>
    <w:p w14:paraId="27477894">
      <w:pPr>
        <w:adjustRightInd w:val="0"/>
        <w:spacing w:line="360" w:lineRule="auto"/>
        <w:ind w:firstLine="480"/>
      </w:pPr>
      <w:r>
        <w:rPr>
          <w:rFonts w:hint="eastAsia"/>
        </w:rPr>
        <w:t>馈线输出低压开关配置满足不低于以下要求：3个额定1600A+2个额定800A智能框架断路；2个额定250A+2个额定160A塑壳断路器，每个回路均配置电能计量表。</w:t>
      </w:r>
    </w:p>
    <w:p w14:paraId="3ABB01E4">
      <w:pPr>
        <w:adjustRightInd w:val="0"/>
        <w:spacing w:line="360" w:lineRule="auto"/>
        <w:ind w:firstLine="480"/>
      </w:pPr>
      <w:r>
        <w:t>主母线材质：铜</w:t>
      </w:r>
    </w:p>
    <w:p w14:paraId="6A850F33">
      <w:pPr>
        <w:adjustRightInd w:val="0"/>
        <w:spacing w:line="360" w:lineRule="auto"/>
        <w:ind w:firstLine="480"/>
      </w:pPr>
      <w:r>
        <w:t>其中所有框架断路器均带智能操控装置，所有低压塑壳断路器均采用固定式，并配置欠电压脱扣器。</w:t>
      </w:r>
    </w:p>
    <w:p w14:paraId="27DC4FC9">
      <w:pPr>
        <w:adjustRightInd w:val="0"/>
        <w:spacing w:line="360" w:lineRule="auto"/>
        <w:ind w:firstLine="480"/>
        <w:rPr>
          <w:color w:val="000000" w:themeColor="text1"/>
          <w14:textFill>
            <w14:solidFill>
              <w14:schemeClr w14:val="tx1"/>
            </w14:solidFill>
          </w14:textFill>
        </w:rPr>
      </w:pPr>
      <w:r>
        <w:rPr>
          <w:color w:val="000000" w:themeColor="text1"/>
          <w14:textFill>
            <w14:solidFill>
              <w14:schemeClr w14:val="tx1"/>
            </w14:solidFill>
          </w14:textFill>
        </w:rPr>
        <w:t>所有智能框架断路器采用西门子、ABB、施耐德、德力西、正泰或相当于，所有塑壳断路器断路器均采用优质ABB、西门子、施耐德、德力西、正泰或相当于。</w:t>
      </w:r>
    </w:p>
    <w:p w14:paraId="79EE41E4">
      <w:pPr>
        <w:adjustRightInd w:val="0"/>
        <w:spacing w:line="360" w:lineRule="auto"/>
        <w:ind w:firstLine="480"/>
      </w:pPr>
      <w:r>
        <w:t>1）</w:t>
      </w:r>
      <w:r>
        <w:rPr>
          <w:rFonts w:hint="eastAsia"/>
        </w:rPr>
        <w:t>400kVA变压器</w:t>
      </w:r>
    </w:p>
    <w:p w14:paraId="0E27EFE2">
      <w:pPr>
        <w:adjustRightInd w:val="0"/>
        <w:spacing w:line="360" w:lineRule="auto"/>
        <w:ind w:firstLine="480"/>
      </w:pPr>
      <w:r>
        <w:t>额定电压（V）：380</w:t>
      </w:r>
    </w:p>
    <w:p w14:paraId="7945C7FF">
      <w:pPr>
        <w:adjustRightInd w:val="0"/>
        <w:spacing w:line="360" w:lineRule="auto"/>
        <w:ind w:firstLine="480"/>
      </w:pPr>
      <w:r>
        <w:t>主电源进线开关型式：智能框架断路器</w:t>
      </w:r>
    </w:p>
    <w:p w14:paraId="3C0D49DD">
      <w:pPr>
        <w:adjustRightInd w:val="0"/>
        <w:spacing w:line="360" w:lineRule="auto"/>
        <w:ind w:firstLine="480"/>
      </w:pPr>
      <w:r>
        <w:t>额定电流（A）：1000</w:t>
      </w:r>
    </w:p>
    <w:p w14:paraId="39D0E9DE">
      <w:pPr>
        <w:adjustRightInd w:val="0"/>
        <w:spacing w:line="360" w:lineRule="auto"/>
        <w:ind w:firstLine="480"/>
      </w:pPr>
      <w:r>
        <w:t>额定运行短路分段能力Ics（kA）：≥ 50</w:t>
      </w:r>
    </w:p>
    <w:p w14:paraId="07222B30">
      <w:pPr>
        <w:adjustRightInd w:val="0"/>
        <w:spacing w:line="360" w:lineRule="auto"/>
        <w:ind w:firstLine="480"/>
      </w:pPr>
      <w:r>
        <w:t>操作：手动操作也可电动操作</w:t>
      </w:r>
    </w:p>
    <w:p w14:paraId="4DF2D5BF">
      <w:pPr>
        <w:adjustRightInd w:val="0"/>
        <w:spacing w:line="360" w:lineRule="auto"/>
        <w:ind w:firstLine="480"/>
      </w:pPr>
      <w:r>
        <w:t>馈线开关型式：智能框架断路器+塑壳断路器</w:t>
      </w:r>
    </w:p>
    <w:p w14:paraId="3FE74C37">
      <w:pPr>
        <w:adjustRightInd w:val="0"/>
        <w:spacing w:line="360" w:lineRule="auto"/>
        <w:ind w:firstLine="480"/>
        <w:rPr>
          <w:color w:val="000000" w:themeColor="text1"/>
          <w14:textFill>
            <w14:solidFill>
              <w14:schemeClr w14:val="tx1"/>
            </w14:solidFill>
          </w14:textFill>
        </w:rPr>
      </w:pPr>
      <w:r>
        <w:t>馈线输出低压开关配置满足不低于以下要求：3个额定400A智能框架断路；4个额定250A+3个</w:t>
      </w:r>
      <w:r>
        <w:rPr>
          <w:color w:val="000000" w:themeColor="text1"/>
          <w14:textFill>
            <w14:solidFill>
              <w14:schemeClr w14:val="tx1"/>
            </w14:solidFill>
          </w14:textFill>
        </w:rPr>
        <w:t>额定160A塑壳断路器，每个回路均配置电能计量表。</w:t>
      </w:r>
    </w:p>
    <w:p w14:paraId="3C10F2F3">
      <w:pPr>
        <w:adjustRightInd w:val="0"/>
        <w:spacing w:line="360" w:lineRule="auto"/>
        <w:ind w:firstLine="480"/>
        <w:rPr>
          <w:color w:val="000000" w:themeColor="text1"/>
          <w14:textFill>
            <w14:solidFill>
              <w14:schemeClr w14:val="tx1"/>
            </w14:solidFill>
          </w14:textFill>
        </w:rPr>
      </w:pPr>
      <w:r>
        <w:rPr>
          <w:color w:val="000000" w:themeColor="text1"/>
          <w14:textFill>
            <w14:solidFill>
              <w14:schemeClr w14:val="tx1"/>
            </w14:solidFill>
          </w14:textFill>
        </w:rPr>
        <w:t>主母线材质：铜</w:t>
      </w:r>
    </w:p>
    <w:p w14:paraId="0A536E15">
      <w:pPr>
        <w:adjustRightInd w:val="0"/>
        <w:spacing w:line="360" w:lineRule="auto"/>
        <w:ind w:firstLine="480"/>
        <w:rPr>
          <w:color w:val="000000" w:themeColor="text1"/>
          <w14:textFill>
            <w14:solidFill>
              <w14:schemeClr w14:val="tx1"/>
            </w14:solidFill>
          </w14:textFill>
        </w:rPr>
      </w:pPr>
      <w:r>
        <w:rPr>
          <w:color w:val="000000" w:themeColor="text1"/>
          <w14:textFill>
            <w14:solidFill>
              <w14:schemeClr w14:val="tx1"/>
            </w14:solidFill>
          </w14:textFill>
        </w:rPr>
        <w:t>其中所有框架断路器均带智能操控装置，所有低压塑壳断路器均采用固定式，并配置欠电压脱扣器。</w:t>
      </w:r>
    </w:p>
    <w:p w14:paraId="0E1610C6">
      <w:pPr>
        <w:adjustRightInd w:val="0"/>
        <w:spacing w:line="360" w:lineRule="auto"/>
        <w:ind w:firstLine="480"/>
        <w:rPr>
          <w:color w:val="000000" w:themeColor="text1"/>
          <w14:textFill>
            <w14:solidFill>
              <w14:schemeClr w14:val="tx1"/>
            </w14:solidFill>
          </w14:textFill>
        </w:rPr>
      </w:pPr>
      <w:r>
        <w:rPr>
          <w:color w:val="000000" w:themeColor="text1"/>
          <w14:textFill>
            <w14:solidFill>
              <w14:schemeClr w14:val="tx1"/>
            </w14:solidFill>
          </w14:textFill>
        </w:rPr>
        <w:t>所有智能框架断路器采用西门子、ABB、施耐德、德力西、正泰或相当于，所有塑壳断路器断路器均采用西门子、ABB、施耐德、德力西、正泰或相当于。</w:t>
      </w:r>
    </w:p>
    <w:p w14:paraId="5F683402">
      <w:pPr>
        <w:pStyle w:val="74"/>
        <w:numPr>
          <w:ilvl w:val="0"/>
          <w:numId w:val="20"/>
        </w:numPr>
        <w:adjustRightInd w:val="0"/>
        <w:snapToGrid w:val="0"/>
        <w:spacing w:line="360" w:lineRule="auto"/>
        <w:ind w:left="0" w:firstLine="480"/>
        <w:rPr>
          <w:color w:val="000000" w:themeColor="text1"/>
          <w14:textFill>
            <w14:solidFill>
              <w14:schemeClr w14:val="tx1"/>
            </w14:solidFill>
          </w14:textFill>
        </w:rPr>
      </w:pPr>
      <w:r>
        <w:rPr>
          <w:color w:val="000000" w:themeColor="text1"/>
          <w14:textFill>
            <w14:solidFill>
              <w14:schemeClr w14:val="tx1"/>
            </w14:solidFill>
          </w14:textFill>
        </w:rPr>
        <w:t>低压其它配置要求：</w:t>
      </w:r>
    </w:p>
    <w:p w14:paraId="425E062E">
      <w:pPr>
        <w:adjustRightInd w:val="0"/>
        <w:spacing w:line="360" w:lineRule="auto"/>
        <w:ind w:firstLine="480"/>
        <w:rPr>
          <w:color w:val="000000" w:themeColor="text1"/>
          <w14:textFill>
            <w14:solidFill>
              <w14:schemeClr w14:val="tx1"/>
            </w14:solidFill>
          </w14:textFill>
        </w:rPr>
      </w:pPr>
      <w:r>
        <w:rPr>
          <w:color w:val="000000" w:themeColor="text1"/>
          <w14:textFill>
            <w14:solidFill>
              <w14:schemeClr w14:val="tx1"/>
            </w14:solidFill>
          </w14:textFill>
        </w:rPr>
        <w:t>箱式变电站内配置一个小型配电箱，内置5只小型断路器（采用西门子、ABB、施耐德、德力西、正泰或相当于），2只插座，供箱变操作电源、检修、照明、电加热器等回路用电。配置干式变温控箱。</w:t>
      </w:r>
    </w:p>
    <w:p w14:paraId="78B0B2F7">
      <w:pPr>
        <w:pStyle w:val="74"/>
        <w:numPr>
          <w:ilvl w:val="0"/>
          <w:numId w:val="20"/>
        </w:numPr>
        <w:adjustRightInd w:val="0"/>
        <w:snapToGrid w:val="0"/>
        <w:spacing w:line="360" w:lineRule="auto"/>
        <w:ind w:left="0" w:firstLine="480"/>
      </w:pPr>
      <w:r>
        <w:t>箱变</w:t>
      </w:r>
    </w:p>
    <w:p w14:paraId="0AA46FF0">
      <w:pPr>
        <w:adjustRightInd w:val="0"/>
        <w:spacing w:line="360" w:lineRule="auto"/>
        <w:ind w:firstLine="480"/>
      </w:pPr>
      <w:r>
        <w:t>1）箱体应有足够的机械强度，在运输、安装中不发生变形。应力求外型美观，色彩与环境协调。外壳油漆喷涂均匀，抗暴晒、抗腐蚀、抗风沙，并有牢固的附着力。防护等级IP5</w:t>
      </w:r>
      <w:r>
        <w:rPr>
          <w:rFonts w:hint="eastAsia"/>
          <w:lang w:val="en-US" w:eastAsia="zh-CN"/>
        </w:rPr>
        <w:t>6</w:t>
      </w:r>
      <w:r>
        <w:t>。</w:t>
      </w:r>
    </w:p>
    <w:p w14:paraId="614843C0">
      <w:pPr>
        <w:adjustRightInd w:val="0"/>
        <w:spacing w:line="360" w:lineRule="auto"/>
        <w:ind w:firstLine="480"/>
      </w:pPr>
      <w:r>
        <w:t>2）按照标准箱变结构型式的要求制造。箱变外壳全封闭（无百叶窗，底部封堵，门框加密封条等）。</w:t>
      </w:r>
    </w:p>
    <w:p w14:paraId="0EB1A2F5">
      <w:pPr>
        <w:adjustRightInd w:val="0"/>
        <w:spacing w:line="360" w:lineRule="auto"/>
        <w:ind w:firstLine="480"/>
      </w:pPr>
      <w:r>
        <w:t>3）低压柜，应为全密封结构。</w:t>
      </w:r>
    </w:p>
    <w:p w14:paraId="158BD11E">
      <w:pPr>
        <w:adjustRightInd w:val="0"/>
        <w:spacing w:line="360" w:lineRule="auto"/>
        <w:ind w:firstLine="480"/>
      </w:pPr>
      <w:r>
        <w:t>4）散热片材料厚度≥ 1.5mm，散热器不加防护罩。</w:t>
      </w:r>
    </w:p>
    <w:p w14:paraId="07D6D37C">
      <w:pPr>
        <w:adjustRightInd w:val="0"/>
        <w:spacing w:line="360" w:lineRule="auto"/>
        <w:ind w:firstLine="480"/>
      </w:pPr>
      <w:r>
        <w:t>5）箱变门要防风型铰链，箱体上所有的门向外开，开启角度大于90度，并设有定位装置。</w:t>
      </w:r>
    </w:p>
    <w:p w14:paraId="75B5B2DE">
      <w:pPr>
        <w:adjustRightInd w:val="0"/>
        <w:spacing w:line="360" w:lineRule="auto"/>
        <w:ind w:firstLine="480"/>
      </w:pPr>
      <w:r>
        <w:t>6）箱体和箱柜的内外表面平整、光洁，无锈蚀、涂层脱落和磕碰损伤现象，涂料层牢固均匀，无明显色差反光，可以保证20年不脱落。箱体的基座可以高出基础100～200mm。</w:t>
      </w:r>
    </w:p>
    <w:p w14:paraId="6546F5E7">
      <w:pPr>
        <w:adjustRightInd w:val="0"/>
        <w:spacing w:line="360" w:lineRule="auto"/>
        <w:ind w:firstLine="480"/>
      </w:pPr>
      <w:r>
        <w:t>7）在正常环境温度下运行时，所有的电器设备的温度不超过其最高允许温升。</w:t>
      </w:r>
    </w:p>
    <w:p w14:paraId="0289F2F6">
      <w:pPr>
        <w:adjustRightInd w:val="0"/>
        <w:spacing w:line="360" w:lineRule="auto"/>
        <w:ind w:firstLine="480"/>
      </w:pPr>
      <w:r>
        <w:t>8）箱体顶盖的倾斜度大于3°，并装设有防雨的密封盖板和防雨檐。</w:t>
      </w:r>
    </w:p>
    <w:p w14:paraId="33753666">
      <w:pPr>
        <w:adjustRightInd w:val="0"/>
        <w:spacing w:line="360" w:lineRule="auto"/>
        <w:ind w:firstLine="480"/>
      </w:pPr>
      <w:r>
        <w:t>9）箱体基座和所有外露金属件均进行防锈处理，并喷涂总厚度在320μm以上的含锌粉的耐久防护层，以保障该设备外壳在20年正常运行条件下不被锈蚀。外部螺栓具有防盗措施。针对该条款，厂家必须另行出具产品防锈蚀的工艺说明及保证函。如在使用期内由于发生质量问题，厂家在接到买方通知之日起，两周内必须处理完毕；如无法如期修理，则在接到买方上述通知之日起四周内，必须更换一台新的型号完全一样的变压器，并承担所有费用。</w:t>
      </w:r>
    </w:p>
    <w:p w14:paraId="6B583514">
      <w:pPr>
        <w:adjustRightInd w:val="0"/>
        <w:spacing w:line="360" w:lineRule="auto"/>
        <w:ind w:firstLine="480"/>
      </w:pPr>
      <w:r>
        <w:t>10）接地</w:t>
      </w:r>
    </w:p>
    <w:p w14:paraId="74819628">
      <w:pPr>
        <w:adjustRightInd w:val="0"/>
        <w:spacing w:line="360" w:lineRule="auto"/>
        <w:ind w:firstLine="480"/>
      </w:pPr>
      <w:r>
        <w:t>箱式变的箱体应设专用接地体,该接地导体上应设有与接地网相连的固定连接端子，其数量不少于两个，并应有明显的接地标志。接地端子为直径不小12mm的铜质螺栓。</w:t>
      </w:r>
    </w:p>
    <w:p w14:paraId="0D0CA003">
      <w:pPr>
        <w:adjustRightInd w:val="0"/>
        <w:spacing w:line="360" w:lineRule="auto"/>
        <w:ind w:firstLine="480"/>
      </w:pPr>
      <w:r>
        <w:t>箱式变的金属骨架、低压配电装置及变压器部分的金属支架均应有符合技术条件的接地端子，并与专用接地导体可靠地连接在一起。箱式变高、低压配电装置及变压器部分的专用接地导体应相互联接，否则应通过专用的端子可靠地连接在一起，箱式变的所有高、低压设备的非带电金属裸露部分均应可靠接地,门及在正常运行条件下可抽出部分应保证在打开或隔离位置时仍可靠接地。</w:t>
      </w:r>
    </w:p>
    <w:p w14:paraId="17CC6BF7">
      <w:pPr>
        <w:tabs>
          <w:tab w:val="left" w:pos="720"/>
          <w:tab w:val="left" w:pos="1080"/>
        </w:tabs>
        <w:adjustRightInd w:val="0"/>
        <w:spacing w:line="360" w:lineRule="auto"/>
        <w:ind w:firstLine="480"/>
      </w:pPr>
      <w:r>
        <w:t xml:space="preserve">11) 负载能力：自然空气冷却（AN）时,在规定的运行条件下,安装在柜体内的变压器，应连续输出100%的额定容量； </w:t>
      </w:r>
    </w:p>
    <w:p w14:paraId="54F150B4">
      <w:pPr>
        <w:adjustRightInd w:val="0"/>
        <w:spacing w:line="360" w:lineRule="auto"/>
        <w:ind w:firstLine="480"/>
      </w:pPr>
      <w:r>
        <w:t>12）变压器铁芯材料采用高质量冷轧晶粒取向的硅钢片。</w:t>
      </w:r>
    </w:p>
    <w:p w14:paraId="332D1EF5">
      <w:pPr>
        <w:adjustRightInd w:val="0"/>
        <w:spacing w:line="360" w:lineRule="auto"/>
        <w:ind w:firstLine="480"/>
      </w:pPr>
      <w:r>
        <w:t>13）箱变保护信号</w:t>
      </w:r>
    </w:p>
    <w:p w14:paraId="42E2556A">
      <w:pPr>
        <w:adjustRightInd w:val="0"/>
        <w:spacing w:line="360" w:lineRule="auto"/>
        <w:ind w:firstLine="480"/>
      </w:pPr>
      <w:r>
        <w:t>a..变压器应装设温控器，输出4-20mA信号和开关量报警信号。箱变的温度信号和温度高温报警信号、低压断路器位置信号、故障报警信号等引出并接至二次端子排。</w:t>
      </w:r>
    </w:p>
    <w:p w14:paraId="3BA653C5">
      <w:pPr>
        <w:adjustRightInd w:val="0"/>
        <w:spacing w:line="360" w:lineRule="auto"/>
        <w:ind w:firstLine="480"/>
      </w:pPr>
      <w:r>
        <w:t>b. 箱变保护信号输出</w:t>
      </w:r>
    </w:p>
    <w:p w14:paraId="198E8761">
      <w:pPr>
        <w:adjustRightInd w:val="0"/>
        <w:spacing w:line="360" w:lineRule="auto"/>
        <w:ind w:firstLine="480"/>
      </w:pPr>
      <w:r>
        <w:t>箱变温度  4-20mA信号  1个</w:t>
      </w:r>
    </w:p>
    <w:p w14:paraId="65CA9625">
      <w:pPr>
        <w:adjustRightInd w:val="0"/>
        <w:spacing w:line="360" w:lineRule="auto"/>
        <w:ind w:firstLine="480"/>
      </w:pPr>
      <w:r>
        <w:t>箱变温度过高报警       1个</w:t>
      </w:r>
    </w:p>
    <w:p w14:paraId="321073E9">
      <w:pPr>
        <w:adjustRightInd w:val="0"/>
        <w:spacing w:line="360" w:lineRule="auto"/>
        <w:ind w:firstLine="480"/>
      </w:pPr>
      <w:r>
        <w:t>低压断路器合           1个</w:t>
      </w:r>
    </w:p>
    <w:p w14:paraId="2E78E71F">
      <w:pPr>
        <w:adjustRightInd w:val="0"/>
        <w:spacing w:line="360" w:lineRule="auto"/>
        <w:ind w:firstLine="480"/>
      </w:pPr>
      <w:r>
        <w:t>低压断路器关           1个</w:t>
      </w:r>
    </w:p>
    <w:p w14:paraId="43878A88">
      <w:pPr>
        <w:adjustRightInd w:val="0"/>
        <w:spacing w:line="360" w:lineRule="auto"/>
        <w:ind w:firstLine="480"/>
      </w:pPr>
      <w:r>
        <w:t>低压断路器故障         1个</w:t>
      </w:r>
    </w:p>
    <w:p w14:paraId="4E08F66D">
      <w:pPr>
        <w:pStyle w:val="74"/>
        <w:numPr>
          <w:ilvl w:val="0"/>
          <w:numId w:val="20"/>
        </w:numPr>
        <w:adjustRightInd w:val="0"/>
        <w:snapToGrid w:val="0"/>
        <w:spacing w:line="360" w:lineRule="auto"/>
        <w:ind w:left="0" w:firstLine="480"/>
      </w:pPr>
      <w:r>
        <w:t>箱变高低压进出线</w:t>
      </w:r>
    </w:p>
    <w:p w14:paraId="3FE66A42">
      <w:pPr>
        <w:adjustRightInd w:val="0"/>
        <w:spacing w:line="360" w:lineRule="auto"/>
        <w:ind w:firstLine="480"/>
      </w:pPr>
      <w:r>
        <w:t xml:space="preserve"> 1)高压进线</w:t>
      </w:r>
    </w:p>
    <w:p w14:paraId="4EC18E0A">
      <w:pPr>
        <w:adjustRightInd w:val="0"/>
        <w:spacing w:line="360" w:lineRule="auto"/>
        <w:ind w:firstLine="480"/>
      </w:pPr>
      <w:r>
        <w:t xml:space="preserve">高压采用电缆进线，电缆进线在箱变底部，电缆进线规格见附图。                                                                                                                                                                                                                                                                                                                                                                         </w:t>
      </w:r>
    </w:p>
    <w:p w14:paraId="3450D92F">
      <w:pPr>
        <w:adjustRightInd w:val="0"/>
        <w:spacing w:line="360" w:lineRule="auto"/>
        <w:ind w:firstLine="480"/>
      </w:pPr>
      <w:r>
        <w:t>2)低压出线</w:t>
      </w:r>
    </w:p>
    <w:p w14:paraId="654AB364">
      <w:pPr>
        <w:adjustRightInd w:val="0"/>
        <w:spacing w:line="360" w:lineRule="auto"/>
        <w:ind w:firstLine="480"/>
      </w:pPr>
      <w:r>
        <w:t>低压侧用电缆出线，电缆出线在箱变底部，电缆出线规格见附图。</w:t>
      </w:r>
    </w:p>
    <w:p w14:paraId="21A889B2">
      <w:pPr>
        <w:adjustRightInd w:val="0"/>
        <w:spacing w:line="360" w:lineRule="auto"/>
        <w:ind w:firstLine="480"/>
      </w:pPr>
      <w:r>
        <w:t>箱内接线应牢固可靠、布线整齐美观，便于接线及试验。具体接线在设计联络会上确定.</w:t>
      </w:r>
    </w:p>
    <w:p w14:paraId="3A683458">
      <w:pPr>
        <w:adjustRightInd w:val="0"/>
        <w:spacing w:line="360" w:lineRule="auto"/>
        <w:ind w:firstLine="480"/>
      </w:pPr>
      <w:r>
        <w:t>3.6.4.5.3箱变内部电气设备</w:t>
      </w:r>
    </w:p>
    <w:p w14:paraId="3D938E1B">
      <w:pPr>
        <w:adjustRightInd w:val="0"/>
        <w:spacing w:line="360" w:lineRule="auto"/>
        <w:ind w:firstLine="480"/>
      </w:pPr>
      <w:r>
        <w:t>1） 箱体门内侧应附有主回路线路图、控制线路图、操作程序及注意事项。</w:t>
      </w:r>
    </w:p>
    <w:p w14:paraId="2679F819">
      <w:pPr>
        <w:adjustRightInd w:val="0"/>
        <w:spacing w:line="360" w:lineRule="auto"/>
        <w:ind w:firstLine="480"/>
      </w:pPr>
      <w:r>
        <w:t>2） 低压侧裸露导体部分应加装绝缘护套并加装防护门。</w:t>
      </w:r>
    </w:p>
    <w:p w14:paraId="06E61F27">
      <w:pPr>
        <w:adjustRightInd w:val="0"/>
        <w:spacing w:line="360" w:lineRule="auto"/>
        <w:ind w:firstLine="480"/>
      </w:pPr>
      <w:r>
        <w:t>3） 高低压进出线应考虑电缆的安装位置和便于进行试验。</w:t>
      </w:r>
    </w:p>
    <w:p w14:paraId="03BAF994">
      <w:pPr>
        <w:adjustRightInd w:val="0"/>
        <w:spacing w:line="360" w:lineRule="auto"/>
        <w:ind w:firstLine="480"/>
      </w:pPr>
      <w:r>
        <w:t>4） 箱变内部电气设备的装设位置应易于观察、操作及安全地更换。</w:t>
      </w:r>
    </w:p>
    <w:p w14:paraId="52E66495">
      <w:pPr>
        <w:adjustRightInd w:val="0"/>
        <w:spacing w:line="360" w:lineRule="auto"/>
        <w:ind w:firstLine="480"/>
      </w:pPr>
      <w:r>
        <w:t>5） 箱变的主要参数见技术数据表。</w:t>
      </w:r>
    </w:p>
    <w:p w14:paraId="1EE961DF">
      <w:pPr>
        <w:adjustRightInd w:val="0"/>
        <w:spacing w:line="360" w:lineRule="auto"/>
        <w:ind w:firstLine="480"/>
      </w:pPr>
      <w:r>
        <w:t>6） 提供一定数量的开关作为备件，备件规格与数量列于备品备件表内。</w:t>
      </w:r>
    </w:p>
    <w:p w14:paraId="4405FFB1">
      <w:pPr>
        <w:adjustRightInd w:val="0"/>
        <w:spacing w:line="360" w:lineRule="auto"/>
        <w:ind w:firstLine="480"/>
      </w:pPr>
      <w:r>
        <w:t>7） 配置完善的照明系统（包括开关、灯具等），以满足箱式变电站运行及检修的需要。</w:t>
      </w:r>
    </w:p>
    <w:p w14:paraId="688B3636">
      <w:pPr>
        <w:pStyle w:val="74"/>
        <w:numPr>
          <w:ilvl w:val="0"/>
          <w:numId w:val="20"/>
        </w:numPr>
        <w:adjustRightInd w:val="0"/>
        <w:snapToGrid w:val="0"/>
        <w:spacing w:line="360" w:lineRule="auto"/>
        <w:ind w:left="0" w:firstLine="480"/>
      </w:pPr>
      <w:r>
        <w:t>其它方面</w:t>
      </w:r>
    </w:p>
    <w:p w14:paraId="32D7FD60">
      <w:pPr>
        <w:adjustRightInd w:val="0"/>
        <w:spacing w:line="360" w:lineRule="auto"/>
        <w:ind w:firstLine="480"/>
      </w:pPr>
      <w:r>
        <w:t>1）箱式全密封免维护变压器应达到现行相关标准和生产厂家自行标准，保证至少20年不用进行吊芯检查、大修等维护工作。如在使用期内变压器发生产品质量问题，厂家在接到买方通知之日起，两周内必须处理完毕；如无法修理，则在接到买方上述通知之日起四周内，必须更换一台新的型号完全一样的变压器。</w:t>
      </w:r>
    </w:p>
    <w:p w14:paraId="52E16E29">
      <w:pPr>
        <w:adjustRightInd w:val="0"/>
        <w:spacing w:line="360" w:lineRule="auto"/>
        <w:ind w:firstLine="480"/>
      </w:pPr>
      <w:r>
        <w:t>2）买方可随时参加监造，在产品套装和出厂试验时，厂家应通知买方派人员参加。</w:t>
      </w:r>
    </w:p>
    <w:p w14:paraId="31C2FC04">
      <w:pPr>
        <w:adjustRightInd w:val="0"/>
        <w:spacing w:line="360" w:lineRule="auto"/>
        <w:ind w:firstLine="480"/>
      </w:pPr>
      <w:r>
        <w:t>3）厂家对设计如有改动或尚有不明事宜，应随时与买方取得联系，以便达成共识，提供符合买方要求的优质产品。</w:t>
      </w:r>
    </w:p>
    <w:p w14:paraId="5796BF62">
      <w:pPr>
        <w:adjustRightInd w:val="0"/>
        <w:spacing w:line="360" w:lineRule="auto"/>
        <w:ind w:firstLine="480"/>
      </w:pPr>
      <w:r>
        <w:rPr>
          <w:rFonts w:hint="eastAsia"/>
          <w:lang w:val="en-US" w:eastAsia="zh-CN"/>
        </w:rPr>
        <w:t xml:space="preserve">表5.2.6-4          </w:t>
      </w:r>
      <w:r>
        <w:t>800kVA技术数据表</w:t>
      </w:r>
    </w:p>
    <w:tbl>
      <w:tblPr>
        <w:tblStyle w:val="28"/>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688"/>
        <w:gridCol w:w="1362"/>
        <w:gridCol w:w="3814"/>
        <w:gridCol w:w="3262"/>
      </w:tblGrid>
      <w:tr w14:paraId="371AB4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blHeader/>
        </w:trPr>
        <w:tc>
          <w:tcPr>
            <w:tcW w:w="377" w:type="pct"/>
            <w:vAlign w:val="center"/>
          </w:tcPr>
          <w:p w14:paraId="198ED6CD">
            <w:pPr>
              <w:adjustRightInd w:val="0"/>
              <w:spacing w:line="240" w:lineRule="auto"/>
              <w:ind w:firstLine="0" w:firstLineChars="0"/>
              <w:jc w:val="center"/>
              <w:rPr>
                <w:sz w:val="21"/>
                <w:szCs w:val="21"/>
              </w:rPr>
            </w:pPr>
            <w:r>
              <w:rPr>
                <w:sz w:val="21"/>
                <w:szCs w:val="21"/>
              </w:rPr>
              <w:t>序号</w:t>
            </w:r>
          </w:p>
        </w:tc>
        <w:tc>
          <w:tcPr>
            <w:tcW w:w="2835" w:type="pct"/>
            <w:gridSpan w:val="2"/>
            <w:vAlign w:val="center"/>
          </w:tcPr>
          <w:p w14:paraId="0DE395F4">
            <w:pPr>
              <w:adjustRightInd w:val="0"/>
              <w:spacing w:line="240" w:lineRule="auto"/>
              <w:ind w:firstLine="0" w:firstLineChars="0"/>
              <w:jc w:val="center"/>
              <w:rPr>
                <w:sz w:val="21"/>
                <w:szCs w:val="21"/>
              </w:rPr>
            </w:pPr>
            <w:r>
              <w:rPr>
                <w:sz w:val="21"/>
                <w:szCs w:val="21"/>
              </w:rPr>
              <w:t>名  称</w:t>
            </w:r>
          </w:p>
        </w:tc>
        <w:tc>
          <w:tcPr>
            <w:tcW w:w="1787" w:type="pct"/>
            <w:vAlign w:val="center"/>
          </w:tcPr>
          <w:p w14:paraId="48EF08FC">
            <w:pPr>
              <w:adjustRightInd w:val="0"/>
              <w:spacing w:line="240" w:lineRule="auto"/>
              <w:ind w:firstLine="0" w:firstLineChars="0"/>
              <w:jc w:val="center"/>
              <w:rPr>
                <w:sz w:val="21"/>
                <w:szCs w:val="21"/>
              </w:rPr>
            </w:pPr>
            <w:r>
              <w:rPr>
                <w:sz w:val="21"/>
                <w:szCs w:val="21"/>
              </w:rPr>
              <w:t>保证值</w:t>
            </w:r>
          </w:p>
        </w:tc>
      </w:tr>
      <w:tr w14:paraId="7BCA89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4B8C38EC">
            <w:pPr>
              <w:adjustRightInd w:val="0"/>
              <w:spacing w:line="240" w:lineRule="auto"/>
              <w:ind w:firstLine="0" w:firstLineChars="0"/>
              <w:jc w:val="center"/>
              <w:rPr>
                <w:sz w:val="21"/>
                <w:szCs w:val="21"/>
              </w:rPr>
            </w:pPr>
            <w:r>
              <w:rPr>
                <w:sz w:val="21"/>
                <w:szCs w:val="21"/>
              </w:rPr>
              <w:t>1</w:t>
            </w:r>
          </w:p>
        </w:tc>
        <w:tc>
          <w:tcPr>
            <w:tcW w:w="2835" w:type="pct"/>
            <w:gridSpan w:val="2"/>
            <w:vAlign w:val="center"/>
          </w:tcPr>
          <w:p w14:paraId="4263DCBC">
            <w:pPr>
              <w:adjustRightInd w:val="0"/>
              <w:spacing w:line="240" w:lineRule="auto"/>
              <w:ind w:firstLine="0" w:firstLineChars="0"/>
              <w:jc w:val="center"/>
              <w:rPr>
                <w:sz w:val="21"/>
                <w:szCs w:val="21"/>
              </w:rPr>
            </w:pPr>
            <w:r>
              <w:rPr>
                <w:sz w:val="21"/>
                <w:szCs w:val="21"/>
              </w:rPr>
              <w:t>干式变压器的规格和型号</w:t>
            </w:r>
          </w:p>
        </w:tc>
        <w:tc>
          <w:tcPr>
            <w:tcW w:w="1787" w:type="pct"/>
            <w:vAlign w:val="center"/>
          </w:tcPr>
          <w:p w14:paraId="4F21CD4C">
            <w:pPr>
              <w:adjustRightInd w:val="0"/>
              <w:spacing w:line="240" w:lineRule="auto"/>
              <w:ind w:firstLine="0" w:firstLineChars="0"/>
              <w:jc w:val="center"/>
              <w:rPr>
                <w:sz w:val="21"/>
                <w:szCs w:val="21"/>
              </w:rPr>
            </w:pPr>
            <w:r>
              <w:rPr>
                <w:sz w:val="21"/>
                <w:szCs w:val="21"/>
              </w:rPr>
              <w:t>SCB14-</w:t>
            </w:r>
            <w:r>
              <w:rPr>
                <w:rFonts w:hint="eastAsia"/>
                <w:sz w:val="21"/>
                <w:szCs w:val="21"/>
              </w:rPr>
              <w:t>8</w:t>
            </w:r>
            <w:r>
              <w:rPr>
                <w:sz w:val="21"/>
                <w:szCs w:val="21"/>
              </w:rPr>
              <w:t>00kVA</w:t>
            </w:r>
          </w:p>
          <w:p w14:paraId="35558FBA">
            <w:pPr>
              <w:adjustRightInd w:val="0"/>
              <w:spacing w:line="240" w:lineRule="auto"/>
              <w:ind w:firstLine="0" w:firstLineChars="0"/>
              <w:jc w:val="center"/>
              <w:rPr>
                <w:sz w:val="21"/>
                <w:szCs w:val="21"/>
              </w:rPr>
            </w:pPr>
            <w:r>
              <w:rPr>
                <w:sz w:val="21"/>
                <w:szCs w:val="21"/>
              </w:rPr>
              <w:t>10±2×2.5%/0.4kV</w:t>
            </w:r>
          </w:p>
        </w:tc>
      </w:tr>
      <w:tr w14:paraId="4CF078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restart"/>
            <w:vAlign w:val="center"/>
          </w:tcPr>
          <w:p w14:paraId="466D8386">
            <w:pPr>
              <w:adjustRightInd w:val="0"/>
              <w:spacing w:line="240" w:lineRule="auto"/>
              <w:ind w:firstLine="0" w:firstLineChars="0"/>
              <w:jc w:val="center"/>
              <w:rPr>
                <w:sz w:val="21"/>
                <w:szCs w:val="21"/>
              </w:rPr>
            </w:pPr>
            <w:r>
              <w:rPr>
                <w:sz w:val="21"/>
                <w:szCs w:val="21"/>
              </w:rPr>
              <w:t>2</w:t>
            </w:r>
          </w:p>
        </w:tc>
        <w:tc>
          <w:tcPr>
            <w:tcW w:w="746" w:type="pct"/>
            <w:vMerge w:val="restart"/>
            <w:vAlign w:val="center"/>
          </w:tcPr>
          <w:p w14:paraId="5A16A56F">
            <w:pPr>
              <w:adjustRightInd w:val="0"/>
              <w:spacing w:line="240" w:lineRule="auto"/>
              <w:ind w:firstLine="0" w:firstLineChars="0"/>
              <w:jc w:val="center"/>
              <w:rPr>
                <w:sz w:val="21"/>
                <w:szCs w:val="21"/>
              </w:rPr>
            </w:pPr>
            <w:r>
              <w:rPr>
                <w:sz w:val="21"/>
                <w:szCs w:val="21"/>
              </w:rPr>
              <w:t>干式变压器的额定电压</w:t>
            </w:r>
          </w:p>
        </w:tc>
        <w:tc>
          <w:tcPr>
            <w:tcW w:w="2089" w:type="pct"/>
            <w:vAlign w:val="center"/>
          </w:tcPr>
          <w:p w14:paraId="0FE6CB7D">
            <w:pPr>
              <w:adjustRightInd w:val="0"/>
              <w:spacing w:line="240" w:lineRule="auto"/>
              <w:ind w:firstLine="0" w:firstLineChars="0"/>
              <w:jc w:val="center"/>
              <w:rPr>
                <w:sz w:val="21"/>
                <w:szCs w:val="21"/>
              </w:rPr>
            </w:pPr>
            <w:r>
              <w:rPr>
                <w:sz w:val="21"/>
                <w:szCs w:val="21"/>
              </w:rPr>
              <w:t>高压侧</w:t>
            </w:r>
          </w:p>
        </w:tc>
        <w:tc>
          <w:tcPr>
            <w:tcW w:w="1787" w:type="pct"/>
            <w:vAlign w:val="center"/>
          </w:tcPr>
          <w:p w14:paraId="33988FBC">
            <w:pPr>
              <w:adjustRightInd w:val="0"/>
              <w:spacing w:line="240" w:lineRule="auto"/>
              <w:ind w:firstLine="0" w:firstLineChars="0"/>
              <w:jc w:val="center"/>
              <w:rPr>
                <w:sz w:val="21"/>
                <w:szCs w:val="21"/>
              </w:rPr>
            </w:pPr>
            <w:r>
              <w:rPr>
                <w:sz w:val="21"/>
                <w:szCs w:val="21"/>
              </w:rPr>
              <w:t>10kV</w:t>
            </w:r>
          </w:p>
        </w:tc>
      </w:tr>
      <w:tr w14:paraId="2250DA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vAlign w:val="center"/>
          </w:tcPr>
          <w:p w14:paraId="70116FBD">
            <w:pPr>
              <w:adjustRightInd w:val="0"/>
              <w:spacing w:line="240" w:lineRule="auto"/>
              <w:ind w:firstLine="0" w:firstLineChars="0"/>
              <w:jc w:val="center"/>
              <w:rPr>
                <w:sz w:val="21"/>
                <w:szCs w:val="21"/>
              </w:rPr>
            </w:pPr>
          </w:p>
        </w:tc>
        <w:tc>
          <w:tcPr>
            <w:tcW w:w="746" w:type="pct"/>
            <w:vMerge w:val="continue"/>
            <w:vAlign w:val="center"/>
          </w:tcPr>
          <w:p w14:paraId="1936AD64">
            <w:pPr>
              <w:adjustRightInd w:val="0"/>
              <w:spacing w:line="240" w:lineRule="auto"/>
              <w:ind w:firstLine="0" w:firstLineChars="0"/>
              <w:jc w:val="center"/>
              <w:rPr>
                <w:sz w:val="21"/>
                <w:szCs w:val="21"/>
              </w:rPr>
            </w:pPr>
          </w:p>
        </w:tc>
        <w:tc>
          <w:tcPr>
            <w:tcW w:w="2089" w:type="pct"/>
            <w:vAlign w:val="center"/>
          </w:tcPr>
          <w:p w14:paraId="20CB1B71">
            <w:pPr>
              <w:adjustRightInd w:val="0"/>
              <w:spacing w:line="240" w:lineRule="auto"/>
              <w:ind w:firstLine="0" w:firstLineChars="0"/>
              <w:jc w:val="center"/>
              <w:rPr>
                <w:sz w:val="21"/>
                <w:szCs w:val="21"/>
              </w:rPr>
            </w:pPr>
            <w:r>
              <w:rPr>
                <w:sz w:val="21"/>
                <w:szCs w:val="21"/>
              </w:rPr>
              <w:t>低压侧</w:t>
            </w:r>
          </w:p>
        </w:tc>
        <w:tc>
          <w:tcPr>
            <w:tcW w:w="1787" w:type="pct"/>
            <w:vAlign w:val="center"/>
          </w:tcPr>
          <w:p w14:paraId="1CB76BF5">
            <w:pPr>
              <w:adjustRightInd w:val="0"/>
              <w:spacing w:line="240" w:lineRule="auto"/>
              <w:ind w:firstLine="0" w:firstLineChars="0"/>
              <w:jc w:val="center"/>
              <w:rPr>
                <w:sz w:val="21"/>
                <w:szCs w:val="21"/>
              </w:rPr>
            </w:pPr>
            <w:r>
              <w:rPr>
                <w:sz w:val="21"/>
                <w:szCs w:val="21"/>
              </w:rPr>
              <w:t>400V</w:t>
            </w:r>
          </w:p>
        </w:tc>
      </w:tr>
      <w:tr w14:paraId="26C549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08413471">
            <w:pPr>
              <w:adjustRightInd w:val="0"/>
              <w:spacing w:line="240" w:lineRule="auto"/>
              <w:ind w:firstLine="0" w:firstLineChars="0"/>
              <w:jc w:val="center"/>
              <w:rPr>
                <w:sz w:val="21"/>
                <w:szCs w:val="21"/>
              </w:rPr>
            </w:pPr>
            <w:r>
              <w:rPr>
                <w:sz w:val="21"/>
                <w:szCs w:val="21"/>
              </w:rPr>
              <w:t>3</w:t>
            </w:r>
          </w:p>
        </w:tc>
        <w:tc>
          <w:tcPr>
            <w:tcW w:w="2835" w:type="pct"/>
            <w:gridSpan w:val="2"/>
            <w:vAlign w:val="center"/>
          </w:tcPr>
          <w:p w14:paraId="6C42537C">
            <w:pPr>
              <w:adjustRightInd w:val="0"/>
              <w:spacing w:line="240" w:lineRule="auto"/>
              <w:ind w:firstLine="0" w:firstLineChars="0"/>
              <w:jc w:val="center"/>
              <w:rPr>
                <w:sz w:val="21"/>
                <w:szCs w:val="21"/>
              </w:rPr>
            </w:pPr>
            <w:r>
              <w:rPr>
                <w:sz w:val="21"/>
                <w:szCs w:val="21"/>
              </w:rPr>
              <w:t>干式变压器接线组别</w:t>
            </w:r>
          </w:p>
        </w:tc>
        <w:tc>
          <w:tcPr>
            <w:tcW w:w="1787" w:type="pct"/>
            <w:vAlign w:val="center"/>
          </w:tcPr>
          <w:p w14:paraId="14321D59">
            <w:pPr>
              <w:adjustRightInd w:val="0"/>
              <w:spacing w:line="240" w:lineRule="auto"/>
              <w:ind w:firstLine="0" w:firstLineChars="0"/>
              <w:jc w:val="center"/>
              <w:rPr>
                <w:sz w:val="21"/>
                <w:szCs w:val="21"/>
              </w:rPr>
            </w:pPr>
            <w:r>
              <w:rPr>
                <w:sz w:val="21"/>
                <w:szCs w:val="21"/>
              </w:rPr>
              <w:t>D，yn11</w:t>
            </w:r>
          </w:p>
        </w:tc>
      </w:tr>
      <w:tr w14:paraId="4DDA18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2DD12451">
            <w:pPr>
              <w:adjustRightInd w:val="0"/>
              <w:spacing w:line="240" w:lineRule="auto"/>
              <w:ind w:firstLine="0" w:firstLineChars="0"/>
              <w:jc w:val="center"/>
              <w:rPr>
                <w:sz w:val="21"/>
                <w:szCs w:val="21"/>
              </w:rPr>
            </w:pPr>
            <w:r>
              <w:rPr>
                <w:sz w:val="21"/>
                <w:szCs w:val="21"/>
              </w:rPr>
              <w:t>4</w:t>
            </w:r>
          </w:p>
        </w:tc>
        <w:tc>
          <w:tcPr>
            <w:tcW w:w="2835" w:type="pct"/>
            <w:gridSpan w:val="2"/>
            <w:vAlign w:val="center"/>
          </w:tcPr>
          <w:p w14:paraId="4AD92CE3">
            <w:pPr>
              <w:adjustRightInd w:val="0"/>
              <w:spacing w:line="240" w:lineRule="auto"/>
              <w:ind w:firstLine="0" w:firstLineChars="0"/>
              <w:jc w:val="center"/>
              <w:rPr>
                <w:sz w:val="21"/>
                <w:szCs w:val="21"/>
              </w:rPr>
            </w:pPr>
            <w:r>
              <w:rPr>
                <w:sz w:val="21"/>
                <w:szCs w:val="21"/>
              </w:rPr>
              <w:t>干式变压器冷却方式</w:t>
            </w:r>
          </w:p>
        </w:tc>
        <w:tc>
          <w:tcPr>
            <w:tcW w:w="1787" w:type="pct"/>
            <w:vAlign w:val="center"/>
          </w:tcPr>
          <w:p w14:paraId="1592F481">
            <w:pPr>
              <w:adjustRightInd w:val="0"/>
              <w:spacing w:line="240" w:lineRule="auto"/>
              <w:ind w:firstLine="0" w:firstLineChars="0"/>
              <w:jc w:val="center"/>
              <w:rPr>
                <w:sz w:val="21"/>
                <w:szCs w:val="21"/>
              </w:rPr>
            </w:pPr>
            <w:r>
              <w:rPr>
                <w:sz w:val="21"/>
                <w:szCs w:val="21"/>
              </w:rPr>
              <w:t>自冷</w:t>
            </w:r>
          </w:p>
        </w:tc>
      </w:tr>
      <w:tr w14:paraId="0AFC82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31D97DDB">
            <w:pPr>
              <w:adjustRightInd w:val="0"/>
              <w:spacing w:line="240" w:lineRule="auto"/>
              <w:ind w:firstLine="0" w:firstLineChars="0"/>
              <w:jc w:val="center"/>
              <w:rPr>
                <w:sz w:val="21"/>
                <w:szCs w:val="21"/>
              </w:rPr>
            </w:pPr>
            <w:r>
              <w:rPr>
                <w:sz w:val="21"/>
                <w:szCs w:val="21"/>
              </w:rPr>
              <w:t>5</w:t>
            </w:r>
          </w:p>
        </w:tc>
        <w:tc>
          <w:tcPr>
            <w:tcW w:w="2835" w:type="pct"/>
            <w:gridSpan w:val="2"/>
            <w:vAlign w:val="center"/>
          </w:tcPr>
          <w:p w14:paraId="15D70922">
            <w:pPr>
              <w:adjustRightInd w:val="0"/>
              <w:spacing w:line="240" w:lineRule="auto"/>
              <w:ind w:firstLine="0" w:firstLineChars="0"/>
              <w:jc w:val="center"/>
              <w:rPr>
                <w:sz w:val="21"/>
                <w:szCs w:val="21"/>
              </w:rPr>
            </w:pPr>
            <w:r>
              <w:rPr>
                <w:sz w:val="21"/>
                <w:szCs w:val="21"/>
              </w:rPr>
              <w:t>干式变压器阻抗百分数</w:t>
            </w:r>
          </w:p>
        </w:tc>
        <w:tc>
          <w:tcPr>
            <w:tcW w:w="1787" w:type="pct"/>
            <w:vAlign w:val="center"/>
          </w:tcPr>
          <w:p w14:paraId="6BFFD74C">
            <w:pPr>
              <w:adjustRightInd w:val="0"/>
              <w:spacing w:line="240" w:lineRule="auto"/>
              <w:ind w:firstLine="0" w:firstLineChars="0"/>
              <w:jc w:val="center"/>
              <w:rPr>
                <w:sz w:val="21"/>
                <w:szCs w:val="21"/>
              </w:rPr>
            </w:pPr>
            <w:r>
              <w:rPr>
                <w:sz w:val="21"/>
                <w:szCs w:val="21"/>
              </w:rPr>
              <w:t>6</w:t>
            </w:r>
          </w:p>
        </w:tc>
      </w:tr>
      <w:tr w14:paraId="2B5E99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23CA7E6E">
            <w:pPr>
              <w:adjustRightInd w:val="0"/>
              <w:spacing w:line="240" w:lineRule="auto"/>
              <w:ind w:firstLine="0" w:firstLineChars="0"/>
              <w:jc w:val="center"/>
              <w:rPr>
                <w:sz w:val="21"/>
                <w:szCs w:val="21"/>
              </w:rPr>
            </w:pPr>
            <w:r>
              <w:rPr>
                <w:sz w:val="21"/>
                <w:szCs w:val="21"/>
              </w:rPr>
              <w:t>6</w:t>
            </w:r>
          </w:p>
        </w:tc>
        <w:tc>
          <w:tcPr>
            <w:tcW w:w="2835" w:type="pct"/>
            <w:gridSpan w:val="2"/>
            <w:vAlign w:val="center"/>
          </w:tcPr>
          <w:p w14:paraId="70EF7D6E">
            <w:pPr>
              <w:adjustRightInd w:val="0"/>
              <w:spacing w:line="240" w:lineRule="auto"/>
              <w:ind w:firstLine="0" w:firstLineChars="0"/>
              <w:jc w:val="center"/>
              <w:rPr>
                <w:sz w:val="21"/>
                <w:szCs w:val="21"/>
              </w:rPr>
            </w:pPr>
            <w:r>
              <w:rPr>
                <w:sz w:val="21"/>
                <w:szCs w:val="21"/>
              </w:rPr>
              <w:t>干式变压器额定容量</w:t>
            </w:r>
          </w:p>
        </w:tc>
        <w:tc>
          <w:tcPr>
            <w:tcW w:w="1787" w:type="pct"/>
            <w:vAlign w:val="center"/>
          </w:tcPr>
          <w:p w14:paraId="4101B374">
            <w:pPr>
              <w:adjustRightInd w:val="0"/>
              <w:spacing w:line="240" w:lineRule="auto"/>
              <w:ind w:firstLine="0" w:firstLineChars="0"/>
              <w:jc w:val="center"/>
              <w:rPr>
                <w:sz w:val="21"/>
                <w:szCs w:val="21"/>
              </w:rPr>
            </w:pPr>
            <w:r>
              <w:rPr>
                <w:rFonts w:hint="eastAsia"/>
                <w:sz w:val="21"/>
                <w:szCs w:val="21"/>
              </w:rPr>
              <w:t>8</w:t>
            </w:r>
            <w:r>
              <w:rPr>
                <w:sz w:val="21"/>
                <w:szCs w:val="21"/>
              </w:rPr>
              <w:t>00kVA</w:t>
            </w:r>
          </w:p>
        </w:tc>
      </w:tr>
      <w:tr w14:paraId="0CD93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57959CC5">
            <w:pPr>
              <w:adjustRightInd w:val="0"/>
              <w:spacing w:line="240" w:lineRule="auto"/>
              <w:ind w:firstLine="0" w:firstLineChars="0"/>
              <w:jc w:val="center"/>
              <w:rPr>
                <w:sz w:val="21"/>
                <w:szCs w:val="21"/>
              </w:rPr>
            </w:pPr>
            <w:r>
              <w:rPr>
                <w:sz w:val="21"/>
                <w:szCs w:val="21"/>
              </w:rPr>
              <w:t>7</w:t>
            </w:r>
          </w:p>
        </w:tc>
        <w:tc>
          <w:tcPr>
            <w:tcW w:w="2835" w:type="pct"/>
            <w:gridSpan w:val="2"/>
            <w:vAlign w:val="center"/>
          </w:tcPr>
          <w:p w14:paraId="069A0FC7">
            <w:pPr>
              <w:adjustRightInd w:val="0"/>
              <w:spacing w:line="240" w:lineRule="auto"/>
              <w:ind w:firstLine="0" w:firstLineChars="0"/>
              <w:jc w:val="center"/>
              <w:rPr>
                <w:sz w:val="21"/>
                <w:szCs w:val="21"/>
              </w:rPr>
            </w:pPr>
            <w:r>
              <w:rPr>
                <w:sz w:val="21"/>
                <w:szCs w:val="21"/>
              </w:rPr>
              <w:t>干式变压器空载电流</w:t>
            </w:r>
          </w:p>
        </w:tc>
        <w:tc>
          <w:tcPr>
            <w:tcW w:w="1787" w:type="pct"/>
            <w:vAlign w:val="center"/>
          </w:tcPr>
          <w:p w14:paraId="096CB074">
            <w:pPr>
              <w:adjustRightInd w:val="0"/>
              <w:spacing w:line="240" w:lineRule="auto"/>
              <w:ind w:firstLine="0" w:firstLineChars="0"/>
              <w:jc w:val="center"/>
              <w:rPr>
                <w:sz w:val="21"/>
                <w:szCs w:val="21"/>
              </w:rPr>
            </w:pPr>
            <w:r>
              <w:rPr>
                <w:sz w:val="21"/>
                <w:szCs w:val="21"/>
              </w:rPr>
              <w:t>/</w:t>
            </w:r>
          </w:p>
        </w:tc>
      </w:tr>
      <w:tr w14:paraId="6E5886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restart"/>
            <w:vAlign w:val="center"/>
          </w:tcPr>
          <w:p w14:paraId="2874427B">
            <w:pPr>
              <w:adjustRightInd w:val="0"/>
              <w:spacing w:line="240" w:lineRule="auto"/>
              <w:ind w:firstLine="0" w:firstLineChars="0"/>
              <w:jc w:val="center"/>
              <w:rPr>
                <w:sz w:val="21"/>
                <w:szCs w:val="21"/>
              </w:rPr>
            </w:pPr>
            <w:r>
              <w:rPr>
                <w:sz w:val="21"/>
                <w:szCs w:val="21"/>
              </w:rPr>
              <w:t>8</w:t>
            </w:r>
          </w:p>
        </w:tc>
        <w:tc>
          <w:tcPr>
            <w:tcW w:w="2835" w:type="pct"/>
            <w:gridSpan w:val="2"/>
            <w:vMerge w:val="restart"/>
            <w:vAlign w:val="center"/>
          </w:tcPr>
          <w:p w14:paraId="6E32D52B">
            <w:pPr>
              <w:adjustRightInd w:val="0"/>
              <w:spacing w:line="240" w:lineRule="auto"/>
              <w:ind w:firstLine="0" w:firstLineChars="0"/>
              <w:jc w:val="center"/>
              <w:rPr>
                <w:sz w:val="21"/>
                <w:szCs w:val="21"/>
              </w:rPr>
            </w:pPr>
            <w:r>
              <w:rPr>
                <w:sz w:val="21"/>
                <w:szCs w:val="21"/>
              </w:rPr>
              <w:t>干式变压器高压、低侧的额定电流</w:t>
            </w:r>
          </w:p>
        </w:tc>
        <w:tc>
          <w:tcPr>
            <w:tcW w:w="1787" w:type="pct"/>
            <w:vAlign w:val="center"/>
          </w:tcPr>
          <w:p w14:paraId="52EEB0A6">
            <w:pPr>
              <w:adjustRightInd w:val="0"/>
              <w:spacing w:line="240" w:lineRule="auto"/>
              <w:ind w:firstLine="0" w:firstLineChars="0"/>
              <w:jc w:val="center"/>
              <w:rPr>
                <w:sz w:val="21"/>
                <w:szCs w:val="21"/>
              </w:rPr>
            </w:pPr>
            <w:r>
              <w:rPr>
                <w:sz w:val="21"/>
                <w:szCs w:val="21"/>
              </w:rPr>
              <w:t>高压侧：</w:t>
            </w:r>
            <w:r>
              <w:rPr>
                <w:rFonts w:hint="eastAsia"/>
                <w:sz w:val="21"/>
                <w:szCs w:val="21"/>
              </w:rPr>
              <w:t>46.2</w:t>
            </w:r>
            <w:r>
              <w:rPr>
                <w:sz w:val="21"/>
                <w:szCs w:val="21"/>
              </w:rPr>
              <w:t>A</w:t>
            </w:r>
          </w:p>
        </w:tc>
      </w:tr>
      <w:tr w14:paraId="3DAD2D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vAlign w:val="center"/>
          </w:tcPr>
          <w:p w14:paraId="46350243">
            <w:pPr>
              <w:adjustRightInd w:val="0"/>
              <w:spacing w:line="240" w:lineRule="auto"/>
              <w:ind w:firstLine="0" w:firstLineChars="0"/>
              <w:jc w:val="center"/>
              <w:rPr>
                <w:sz w:val="21"/>
                <w:szCs w:val="21"/>
              </w:rPr>
            </w:pPr>
          </w:p>
        </w:tc>
        <w:tc>
          <w:tcPr>
            <w:tcW w:w="2835" w:type="pct"/>
            <w:gridSpan w:val="2"/>
            <w:vMerge w:val="continue"/>
            <w:vAlign w:val="center"/>
          </w:tcPr>
          <w:p w14:paraId="2BE773D4">
            <w:pPr>
              <w:adjustRightInd w:val="0"/>
              <w:spacing w:line="240" w:lineRule="auto"/>
              <w:ind w:firstLine="0" w:firstLineChars="0"/>
              <w:jc w:val="center"/>
              <w:rPr>
                <w:sz w:val="21"/>
                <w:szCs w:val="21"/>
              </w:rPr>
            </w:pPr>
          </w:p>
        </w:tc>
        <w:tc>
          <w:tcPr>
            <w:tcW w:w="1787" w:type="pct"/>
            <w:vAlign w:val="center"/>
          </w:tcPr>
          <w:p w14:paraId="4BA15D96">
            <w:pPr>
              <w:adjustRightInd w:val="0"/>
              <w:spacing w:line="240" w:lineRule="auto"/>
              <w:ind w:firstLine="0" w:firstLineChars="0"/>
              <w:jc w:val="center"/>
              <w:rPr>
                <w:sz w:val="21"/>
                <w:szCs w:val="21"/>
              </w:rPr>
            </w:pPr>
            <w:r>
              <w:rPr>
                <w:sz w:val="21"/>
                <w:szCs w:val="21"/>
              </w:rPr>
              <w:t>低压侧：</w:t>
            </w:r>
            <w:r>
              <w:rPr>
                <w:rFonts w:hint="eastAsia"/>
                <w:sz w:val="21"/>
                <w:szCs w:val="21"/>
              </w:rPr>
              <w:t>1156</w:t>
            </w:r>
            <w:r>
              <w:rPr>
                <w:sz w:val="21"/>
                <w:szCs w:val="21"/>
              </w:rPr>
              <w:t>A</w:t>
            </w:r>
          </w:p>
        </w:tc>
      </w:tr>
      <w:tr w14:paraId="03547C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3587625F">
            <w:pPr>
              <w:adjustRightInd w:val="0"/>
              <w:spacing w:line="240" w:lineRule="auto"/>
              <w:ind w:firstLine="0" w:firstLineChars="0"/>
              <w:jc w:val="center"/>
              <w:rPr>
                <w:sz w:val="21"/>
                <w:szCs w:val="21"/>
              </w:rPr>
            </w:pPr>
            <w:r>
              <w:rPr>
                <w:sz w:val="21"/>
                <w:szCs w:val="21"/>
              </w:rPr>
              <w:t>9</w:t>
            </w:r>
          </w:p>
        </w:tc>
        <w:tc>
          <w:tcPr>
            <w:tcW w:w="2835" w:type="pct"/>
            <w:gridSpan w:val="2"/>
            <w:vAlign w:val="center"/>
          </w:tcPr>
          <w:p w14:paraId="4BA6C629">
            <w:pPr>
              <w:adjustRightInd w:val="0"/>
              <w:spacing w:line="240" w:lineRule="auto"/>
              <w:ind w:firstLine="0" w:firstLineChars="0"/>
              <w:jc w:val="center"/>
              <w:rPr>
                <w:sz w:val="21"/>
                <w:szCs w:val="21"/>
              </w:rPr>
            </w:pPr>
            <w:r>
              <w:rPr>
                <w:sz w:val="21"/>
                <w:szCs w:val="21"/>
              </w:rPr>
              <w:t>干式变压器高压侧的短路关合电流</w:t>
            </w:r>
          </w:p>
        </w:tc>
        <w:tc>
          <w:tcPr>
            <w:tcW w:w="1787" w:type="pct"/>
            <w:vAlign w:val="center"/>
          </w:tcPr>
          <w:p w14:paraId="4A7F0CB6">
            <w:pPr>
              <w:adjustRightInd w:val="0"/>
              <w:spacing w:line="240" w:lineRule="auto"/>
              <w:ind w:firstLine="0" w:firstLineChars="0"/>
              <w:jc w:val="center"/>
              <w:rPr>
                <w:sz w:val="21"/>
                <w:szCs w:val="21"/>
              </w:rPr>
            </w:pPr>
            <w:r>
              <w:rPr>
                <w:sz w:val="21"/>
                <w:szCs w:val="21"/>
              </w:rPr>
              <w:t>31.5kA</w:t>
            </w:r>
          </w:p>
        </w:tc>
      </w:tr>
      <w:tr w14:paraId="0CB2B2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restart"/>
            <w:vAlign w:val="center"/>
          </w:tcPr>
          <w:p w14:paraId="0F6A58BE">
            <w:pPr>
              <w:adjustRightInd w:val="0"/>
              <w:spacing w:line="240" w:lineRule="auto"/>
              <w:ind w:firstLine="0" w:firstLineChars="0"/>
              <w:jc w:val="center"/>
              <w:rPr>
                <w:sz w:val="21"/>
                <w:szCs w:val="21"/>
              </w:rPr>
            </w:pPr>
            <w:r>
              <w:rPr>
                <w:sz w:val="21"/>
                <w:szCs w:val="21"/>
              </w:rPr>
              <w:t>10</w:t>
            </w:r>
          </w:p>
        </w:tc>
        <w:tc>
          <w:tcPr>
            <w:tcW w:w="746" w:type="pct"/>
            <w:vMerge w:val="restart"/>
            <w:vAlign w:val="center"/>
          </w:tcPr>
          <w:p w14:paraId="08BC6609">
            <w:pPr>
              <w:adjustRightInd w:val="0"/>
              <w:spacing w:line="240" w:lineRule="auto"/>
              <w:ind w:firstLine="0" w:firstLineChars="0"/>
              <w:jc w:val="center"/>
              <w:rPr>
                <w:sz w:val="21"/>
                <w:szCs w:val="21"/>
              </w:rPr>
            </w:pPr>
            <w:r>
              <w:rPr>
                <w:sz w:val="21"/>
                <w:szCs w:val="21"/>
              </w:rPr>
              <w:t>干式变压器损耗</w:t>
            </w:r>
          </w:p>
        </w:tc>
        <w:tc>
          <w:tcPr>
            <w:tcW w:w="2089" w:type="pct"/>
            <w:vAlign w:val="center"/>
          </w:tcPr>
          <w:p w14:paraId="6B30AAEF">
            <w:pPr>
              <w:adjustRightInd w:val="0"/>
              <w:spacing w:line="240" w:lineRule="auto"/>
              <w:ind w:firstLine="0" w:firstLineChars="0"/>
              <w:jc w:val="center"/>
              <w:rPr>
                <w:sz w:val="21"/>
                <w:szCs w:val="21"/>
              </w:rPr>
            </w:pPr>
            <w:r>
              <w:rPr>
                <w:sz w:val="21"/>
                <w:szCs w:val="21"/>
              </w:rPr>
              <w:t>空载损耗</w:t>
            </w:r>
          </w:p>
        </w:tc>
        <w:tc>
          <w:tcPr>
            <w:tcW w:w="1787" w:type="pct"/>
            <w:vAlign w:val="center"/>
          </w:tcPr>
          <w:p w14:paraId="50A8C103">
            <w:pPr>
              <w:adjustRightInd w:val="0"/>
              <w:spacing w:line="240" w:lineRule="auto"/>
              <w:ind w:firstLine="0" w:firstLineChars="0"/>
              <w:jc w:val="center"/>
              <w:rPr>
                <w:sz w:val="21"/>
                <w:szCs w:val="21"/>
              </w:rPr>
            </w:pPr>
            <w:r>
              <w:rPr>
                <w:sz w:val="21"/>
                <w:szCs w:val="21"/>
              </w:rPr>
              <w:t>W</w:t>
            </w:r>
          </w:p>
        </w:tc>
      </w:tr>
      <w:tr w14:paraId="22604B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vAlign w:val="center"/>
          </w:tcPr>
          <w:p w14:paraId="6300309B">
            <w:pPr>
              <w:adjustRightInd w:val="0"/>
              <w:spacing w:line="240" w:lineRule="auto"/>
              <w:ind w:firstLine="0" w:firstLineChars="0"/>
              <w:jc w:val="center"/>
              <w:rPr>
                <w:sz w:val="21"/>
                <w:szCs w:val="21"/>
              </w:rPr>
            </w:pPr>
          </w:p>
        </w:tc>
        <w:tc>
          <w:tcPr>
            <w:tcW w:w="746" w:type="pct"/>
            <w:vMerge w:val="continue"/>
            <w:vAlign w:val="center"/>
          </w:tcPr>
          <w:p w14:paraId="3A474E27">
            <w:pPr>
              <w:adjustRightInd w:val="0"/>
              <w:spacing w:line="240" w:lineRule="auto"/>
              <w:ind w:firstLine="0" w:firstLineChars="0"/>
              <w:jc w:val="center"/>
              <w:rPr>
                <w:sz w:val="21"/>
                <w:szCs w:val="21"/>
              </w:rPr>
            </w:pPr>
          </w:p>
        </w:tc>
        <w:tc>
          <w:tcPr>
            <w:tcW w:w="2089" w:type="pct"/>
            <w:vAlign w:val="center"/>
          </w:tcPr>
          <w:p w14:paraId="749D9BCB">
            <w:pPr>
              <w:adjustRightInd w:val="0"/>
              <w:spacing w:line="240" w:lineRule="auto"/>
              <w:ind w:firstLine="0" w:firstLineChars="0"/>
              <w:jc w:val="center"/>
              <w:rPr>
                <w:sz w:val="21"/>
                <w:szCs w:val="21"/>
              </w:rPr>
            </w:pPr>
            <w:r>
              <w:rPr>
                <w:sz w:val="21"/>
                <w:szCs w:val="21"/>
              </w:rPr>
              <w:t>负载损耗</w:t>
            </w:r>
          </w:p>
        </w:tc>
        <w:tc>
          <w:tcPr>
            <w:tcW w:w="1787" w:type="pct"/>
            <w:vAlign w:val="center"/>
          </w:tcPr>
          <w:p w14:paraId="27B4E1E0">
            <w:pPr>
              <w:adjustRightInd w:val="0"/>
              <w:spacing w:line="240" w:lineRule="auto"/>
              <w:ind w:firstLine="0" w:firstLineChars="0"/>
              <w:jc w:val="center"/>
              <w:rPr>
                <w:sz w:val="21"/>
                <w:szCs w:val="21"/>
              </w:rPr>
            </w:pPr>
            <w:r>
              <w:rPr>
                <w:sz w:val="21"/>
                <w:szCs w:val="21"/>
              </w:rPr>
              <w:t>W</w:t>
            </w:r>
          </w:p>
        </w:tc>
      </w:tr>
      <w:tr w14:paraId="240AD8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restart"/>
            <w:vAlign w:val="center"/>
          </w:tcPr>
          <w:p w14:paraId="27E2271F">
            <w:pPr>
              <w:adjustRightInd w:val="0"/>
              <w:spacing w:line="240" w:lineRule="auto"/>
              <w:ind w:firstLine="0" w:firstLineChars="0"/>
              <w:jc w:val="center"/>
              <w:rPr>
                <w:sz w:val="21"/>
                <w:szCs w:val="21"/>
              </w:rPr>
            </w:pPr>
            <w:r>
              <w:rPr>
                <w:sz w:val="21"/>
                <w:szCs w:val="21"/>
              </w:rPr>
              <w:t>11</w:t>
            </w:r>
          </w:p>
        </w:tc>
        <w:tc>
          <w:tcPr>
            <w:tcW w:w="746" w:type="pct"/>
            <w:vMerge w:val="restart"/>
            <w:vAlign w:val="center"/>
          </w:tcPr>
          <w:p w14:paraId="64DAE22A">
            <w:pPr>
              <w:adjustRightInd w:val="0"/>
              <w:spacing w:line="240" w:lineRule="auto"/>
              <w:ind w:firstLine="0" w:firstLineChars="0"/>
              <w:jc w:val="center"/>
              <w:rPr>
                <w:sz w:val="21"/>
                <w:szCs w:val="21"/>
              </w:rPr>
            </w:pPr>
            <w:r>
              <w:rPr>
                <w:sz w:val="21"/>
                <w:szCs w:val="21"/>
              </w:rPr>
              <w:t>干式变压器绝缘水平</w:t>
            </w:r>
          </w:p>
        </w:tc>
        <w:tc>
          <w:tcPr>
            <w:tcW w:w="2089" w:type="pct"/>
            <w:vAlign w:val="center"/>
          </w:tcPr>
          <w:p w14:paraId="28F2CFEF">
            <w:pPr>
              <w:adjustRightInd w:val="0"/>
              <w:spacing w:line="240" w:lineRule="auto"/>
              <w:ind w:firstLine="0" w:firstLineChars="0"/>
              <w:jc w:val="center"/>
              <w:rPr>
                <w:sz w:val="21"/>
                <w:szCs w:val="21"/>
              </w:rPr>
            </w:pPr>
            <w:r>
              <w:rPr>
                <w:sz w:val="21"/>
                <w:szCs w:val="21"/>
              </w:rPr>
              <w:t>雷 电 冲 击 耐 受 电 压（1.2/50μS）</w:t>
            </w:r>
          </w:p>
        </w:tc>
        <w:tc>
          <w:tcPr>
            <w:tcW w:w="1787" w:type="pct"/>
            <w:vAlign w:val="center"/>
          </w:tcPr>
          <w:p w14:paraId="2ABB5700">
            <w:pPr>
              <w:adjustRightInd w:val="0"/>
              <w:spacing w:line="240" w:lineRule="auto"/>
              <w:ind w:firstLine="0" w:firstLineChars="0"/>
              <w:jc w:val="center"/>
              <w:rPr>
                <w:sz w:val="21"/>
                <w:szCs w:val="21"/>
              </w:rPr>
            </w:pPr>
          </w:p>
          <w:p w14:paraId="25073891">
            <w:pPr>
              <w:adjustRightInd w:val="0"/>
              <w:spacing w:line="240" w:lineRule="auto"/>
              <w:ind w:firstLine="0" w:firstLineChars="0"/>
              <w:jc w:val="center"/>
              <w:rPr>
                <w:sz w:val="21"/>
                <w:szCs w:val="21"/>
              </w:rPr>
            </w:pPr>
            <w:r>
              <w:rPr>
                <w:sz w:val="21"/>
                <w:szCs w:val="21"/>
              </w:rPr>
              <w:t>75kV</w:t>
            </w:r>
          </w:p>
          <w:p w14:paraId="6885A3BC">
            <w:pPr>
              <w:adjustRightInd w:val="0"/>
              <w:spacing w:line="240" w:lineRule="auto"/>
              <w:ind w:firstLine="0" w:firstLineChars="0"/>
              <w:jc w:val="center"/>
              <w:rPr>
                <w:sz w:val="21"/>
                <w:szCs w:val="21"/>
              </w:rPr>
            </w:pPr>
          </w:p>
        </w:tc>
      </w:tr>
      <w:tr w14:paraId="5CBF7E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vAlign w:val="center"/>
          </w:tcPr>
          <w:p w14:paraId="744E7A87">
            <w:pPr>
              <w:adjustRightInd w:val="0"/>
              <w:spacing w:line="240" w:lineRule="auto"/>
              <w:ind w:firstLine="0" w:firstLineChars="0"/>
              <w:jc w:val="center"/>
              <w:rPr>
                <w:sz w:val="21"/>
                <w:szCs w:val="21"/>
              </w:rPr>
            </w:pPr>
          </w:p>
        </w:tc>
        <w:tc>
          <w:tcPr>
            <w:tcW w:w="746" w:type="pct"/>
            <w:vMerge w:val="continue"/>
            <w:vAlign w:val="center"/>
          </w:tcPr>
          <w:p w14:paraId="020824B8">
            <w:pPr>
              <w:adjustRightInd w:val="0"/>
              <w:spacing w:line="240" w:lineRule="auto"/>
              <w:ind w:firstLine="0" w:firstLineChars="0"/>
              <w:jc w:val="center"/>
              <w:rPr>
                <w:sz w:val="21"/>
                <w:szCs w:val="21"/>
              </w:rPr>
            </w:pPr>
          </w:p>
        </w:tc>
        <w:tc>
          <w:tcPr>
            <w:tcW w:w="2089" w:type="pct"/>
            <w:vAlign w:val="center"/>
          </w:tcPr>
          <w:p w14:paraId="4FCC4B07">
            <w:pPr>
              <w:adjustRightInd w:val="0"/>
              <w:spacing w:line="240" w:lineRule="auto"/>
              <w:ind w:firstLine="0" w:firstLineChars="0"/>
              <w:jc w:val="center"/>
              <w:rPr>
                <w:sz w:val="21"/>
                <w:szCs w:val="21"/>
              </w:rPr>
            </w:pPr>
            <w:r>
              <w:rPr>
                <w:sz w:val="21"/>
                <w:szCs w:val="21"/>
              </w:rPr>
              <w:t>一分钟工频耐受电压</w:t>
            </w:r>
          </w:p>
        </w:tc>
        <w:tc>
          <w:tcPr>
            <w:tcW w:w="1787" w:type="pct"/>
            <w:vAlign w:val="center"/>
          </w:tcPr>
          <w:p w14:paraId="3D4FD221">
            <w:pPr>
              <w:adjustRightInd w:val="0"/>
              <w:spacing w:line="240" w:lineRule="auto"/>
              <w:ind w:firstLine="0" w:firstLineChars="0"/>
              <w:jc w:val="center"/>
              <w:rPr>
                <w:sz w:val="21"/>
                <w:szCs w:val="21"/>
              </w:rPr>
            </w:pPr>
            <w:r>
              <w:rPr>
                <w:sz w:val="21"/>
                <w:szCs w:val="21"/>
              </w:rPr>
              <w:t>35kV</w:t>
            </w:r>
          </w:p>
        </w:tc>
      </w:tr>
      <w:tr w14:paraId="6B77F2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53D30517">
            <w:pPr>
              <w:adjustRightInd w:val="0"/>
              <w:spacing w:line="240" w:lineRule="auto"/>
              <w:ind w:firstLine="0" w:firstLineChars="0"/>
              <w:jc w:val="center"/>
              <w:rPr>
                <w:sz w:val="21"/>
                <w:szCs w:val="21"/>
              </w:rPr>
            </w:pPr>
            <w:r>
              <w:rPr>
                <w:sz w:val="21"/>
                <w:szCs w:val="21"/>
              </w:rPr>
              <w:t>12</w:t>
            </w:r>
          </w:p>
        </w:tc>
        <w:tc>
          <w:tcPr>
            <w:tcW w:w="2835" w:type="pct"/>
            <w:gridSpan w:val="2"/>
            <w:vAlign w:val="center"/>
          </w:tcPr>
          <w:p w14:paraId="09958AD0">
            <w:pPr>
              <w:adjustRightInd w:val="0"/>
              <w:spacing w:line="240" w:lineRule="auto"/>
              <w:ind w:firstLine="0" w:firstLineChars="0"/>
              <w:jc w:val="center"/>
              <w:rPr>
                <w:sz w:val="21"/>
                <w:szCs w:val="21"/>
              </w:rPr>
            </w:pPr>
            <w:r>
              <w:rPr>
                <w:sz w:val="21"/>
                <w:szCs w:val="21"/>
              </w:rPr>
              <w:t>干式变压器调压方式、范围</w:t>
            </w:r>
          </w:p>
        </w:tc>
        <w:tc>
          <w:tcPr>
            <w:tcW w:w="1787" w:type="pct"/>
            <w:vAlign w:val="center"/>
          </w:tcPr>
          <w:p w14:paraId="4DB22071">
            <w:pPr>
              <w:adjustRightInd w:val="0"/>
              <w:spacing w:line="240" w:lineRule="auto"/>
              <w:ind w:firstLine="0" w:firstLineChars="0"/>
              <w:jc w:val="center"/>
              <w:rPr>
                <w:sz w:val="21"/>
                <w:szCs w:val="21"/>
              </w:rPr>
            </w:pPr>
            <w:r>
              <w:rPr>
                <w:sz w:val="21"/>
                <w:szCs w:val="21"/>
              </w:rPr>
              <w:t>无励磁，10±2×2.5%</w:t>
            </w:r>
          </w:p>
        </w:tc>
      </w:tr>
      <w:tr w14:paraId="019DF8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58CD09D0">
            <w:pPr>
              <w:adjustRightInd w:val="0"/>
              <w:spacing w:line="240" w:lineRule="auto"/>
              <w:ind w:firstLine="0" w:firstLineChars="0"/>
              <w:jc w:val="center"/>
              <w:rPr>
                <w:sz w:val="21"/>
                <w:szCs w:val="21"/>
              </w:rPr>
            </w:pPr>
            <w:r>
              <w:rPr>
                <w:sz w:val="21"/>
                <w:szCs w:val="21"/>
              </w:rPr>
              <w:t>13</w:t>
            </w:r>
          </w:p>
        </w:tc>
        <w:tc>
          <w:tcPr>
            <w:tcW w:w="2835" w:type="pct"/>
            <w:gridSpan w:val="2"/>
            <w:vAlign w:val="center"/>
          </w:tcPr>
          <w:p w14:paraId="7CFD2A7C">
            <w:pPr>
              <w:adjustRightInd w:val="0"/>
              <w:spacing w:line="240" w:lineRule="auto"/>
              <w:ind w:firstLine="0" w:firstLineChars="0"/>
              <w:jc w:val="center"/>
              <w:rPr>
                <w:sz w:val="21"/>
                <w:szCs w:val="21"/>
              </w:rPr>
            </w:pPr>
            <w:r>
              <w:rPr>
                <w:sz w:val="21"/>
                <w:szCs w:val="21"/>
              </w:rPr>
              <w:t>干式变压器的外形尺寸</w:t>
            </w:r>
          </w:p>
          <w:p w14:paraId="2799F35F">
            <w:pPr>
              <w:adjustRightInd w:val="0"/>
              <w:spacing w:line="240" w:lineRule="auto"/>
              <w:ind w:firstLine="0" w:firstLineChars="0"/>
              <w:jc w:val="center"/>
              <w:rPr>
                <w:sz w:val="21"/>
                <w:szCs w:val="21"/>
              </w:rPr>
            </w:pPr>
            <w:r>
              <w:rPr>
                <w:sz w:val="21"/>
                <w:szCs w:val="21"/>
              </w:rPr>
              <w:t>（长×宽×高）m×m×m</w:t>
            </w:r>
          </w:p>
        </w:tc>
        <w:tc>
          <w:tcPr>
            <w:tcW w:w="1787" w:type="pct"/>
            <w:vAlign w:val="center"/>
          </w:tcPr>
          <w:p w14:paraId="6129FFCA">
            <w:pPr>
              <w:adjustRightInd w:val="0"/>
              <w:spacing w:line="240" w:lineRule="auto"/>
              <w:ind w:firstLine="0" w:firstLineChars="0"/>
              <w:jc w:val="center"/>
              <w:rPr>
                <w:sz w:val="21"/>
                <w:szCs w:val="21"/>
              </w:rPr>
            </w:pPr>
            <w:r>
              <w:rPr>
                <w:sz w:val="21"/>
                <w:szCs w:val="21"/>
              </w:rPr>
              <w:t>/</w:t>
            </w:r>
          </w:p>
        </w:tc>
      </w:tr>
      <w:tr w14:paraId="060CF4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77777C71">
            <w:pPr>
              <w:adjustRightInd w:val="0"/>
              <w:spacing w:line="240" w:lineRule="auto"/>
              <w:ind w:firstLine="0" w:firstLineChars="0"/>
              <w:jc w:val="center"/>
              <w:rPr>
                <w:sz w:val="21"/>
                <w:szCs w:val="21"/>
              </w:rPr>
            </w:pPr>
            <w:r>
              <w:rPr>
                <w:sz w:val="21"/>
                <w:szCs w:val="21"/>
              </w:rPr>
              <w:t>14</w:t>
            </w:r>
          </w:p>
        </w:tc>
        <w:tc>
          <w:tcPr>
            <w:tcW w:w="2835" w:type="pct"/>
            <w:gridSpan w:val="2"/>
            <w:vAlign w:val="center"/>
          </w:tcPr>
          <w:p w14:paraId="3879FC44">
            <w:pPr>
              <w:adjustRightInd w:val="0"/>
              <w:spacing w:line="240" w:lineRule="auto"/>
              <w:ind w:firstLine="0" w:firstLineChars="0"/>
              <w:jc w:val="center"/>
              <w:rPr>
                <w:sz w:val="21"/>
                <w:szCs w:val="21"/>
              </w:rPr>
            </w:pPr>
            <w:r>
              <w:rPr>
                <w:sz w:val="21"/>
                <w:szCs w:val="21"/>
              </w:rPr>
              <w:t>箱式变电站安装重量</w:t>
            </w:r>
          </w:p>
        </w:tc>
        <w:tc>
          <w:tcPr>
            <w:tcW w:w="1787" w:type="pct"/>
            <w:vAlign w:val="center"/>
          </w:tcPr>
          <w:p w14:paraId="516F497B">
            <w:pPr>
              <w:adjustRightInd w:val="0"/>
              <w:spacing w:line="240" w:lineRule="auto"/>
              <w:ind w:firstLine="0" w:firstLineChars="0"/>
              <w:jc w:val="center"/>
              <w:rPr>
                <w:sz w:val="21"/>
                <w:szCs w:val="21"/>
              </w:rPr>
            </w:pPr>
            <w:r>
              <w:rPr>
                <w:sz w:val="21"/>
                <w:szCs w:val="21"/>
              </w:rPr>
              <w:t>/</w:t>
            </w:r>
          </w:p>
        </w:tc>
      </w:tr>
      <w:tr w14:paraId="2074BB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restart"/>
            <w:vAlign w:val="center"/>
          </w:tcPr>
          <w:p w14:paraId="3E21CFBF">
            <w:pPr>
              <w:adjustRightInd w:val="0"/>
              <w:spacing w:line="240" w:lineRule="auto"/>
              <w:ind w:firstLine="0" w:firstLineChars="0"/>
              <w:jc w:val="center"/>
              <w:rPr>
                <w:sz w:val="21"/>
                <w:szCs w:val="21"/>
              </w:rPr>
            </w:pPr>
            <w:r>
              <w:rPr>
                <w:sz w:val="21"/>
                <w:szCs w:val="21"/>
              </w:rPr>
              <w:t>15</w:t>
            </w:r>
          </w:p>
        </w:tc>
        <w:tc>
          <w:tcPr>
            <w:tcW w:w="746" w:type="pct"/>
            <w:vMerge w:val="restart"/>
            <w:vAlign w:val="center"/>
          </w:tcPr>
          <w:p w14:paraId="0E009192">
            <w:pPr>
              <w:adjustRightInd w:val="0"/>
              <w:spacing w:line="240" w:lineRule="auto"/>
              <w:ind w:firstLine="0" w:firstLineChars="0"/>
              <w:jc w:val="center"/>
              <w:rPr>
                <w:sz w:val="21"/>
                <w:szCs w:val="21"/>
              </w:rPr>
            </w:pPr>
            <w:r>
              <w:rPr>
                <w:sz w:val="21"/>
                <w:szCs w:val="21"/>
              </w:rPr>
              <w:t>箱式变电站运输</w:t>
            </w:r>
          </w:p>
        </w:tc>
        <w:tc>
          <w:tcPr>
            <w:tcW w:w="2089" w:type="pct"/>
            <w:vAlign w:val="center"/>
          </w:tcPr>
          <w:p w14:paraId="51BD475A">
            <w:pPr>
              <w:adjustRightInd w:val="0"/>
              <w:spacing w:line="240" w:lineRule="auto"/>
              <w:ind w:firstLine="0" w:firstLineChars="0"/>
              <w:jc w:val="center"/>
              <w:rPr>
                <w:sz w:val="21"/>
                <w:szCs w:val="21"/>
              </w:rPr>
            </w:pPr>
            <w:r>
              <w:rPr>
                <w:sz w:val="21"/>
                <w:szCs w:val="21"/>
              </w:rPr>
              <w:t>运输尺寸（长×宽×高）m×m×m</w:t>
            </w:r>
          </w:p>
        </w:tc>
        <w:tc>
          <w:tcPr>
            <w:tcW w:w="1787" w:type="pct"/>
            <w:vAlign w:val="center"/>
          </w:tcPr>
          <w:p w14:paraId="5BC028F3">
            <w:pPr>
              <w:adjustRightInd w:val="0"/>
              <w:spacing w:line="240" w:lineRule="auto"/>
              <w:ind w:firstLine="0" w:firstLineChars="0"/>
              <w:jc w:val="center"/>
              <w:rPr>
                <w:sz w:val="21"/>
                <w:szCs w:val="21"/>
              </w:rPr>
            </w:pPr>
            <w:r>
              <w:rPr>
                <w:sz w:val="21"/>
                <w:szCs w:val="21"/>
              </w:rPr>
              <w:t>/</w:t>
            </w:r>
          </w:p>
        </w:tc>
      </w:tr>
      <w:tr w14:paraId="798154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vAlign w:val="center"/>
          </w:tcPr>
          <w:p w14:paraId="31BBEE7B">
            <w:pPr>
              <w:adjustRightInd w:val="0"/>
              <w:spacing w:line="240" w:lineRule="auto"/>
              <w:ind w:firstLine="0" w:firstLineChars="0"/>
              <w:jc w:val="center"/>
              <w:rPr>
                <w:sz w:val="21"/>
                <w:szCs w:val="21"/>
              </w:rPr>
            </w:pPr>
          </w:p>
        </w:tc>
        <w:tc>
          <w:tcPr>
            <w:tcW w:w="746" w:type="pct"/>
            <w:vMerge w:val="continue"/>
            <w:vAlign w:val="center"/>
          </w:tcPr>
          <w:p w14:paraId="4237A2F7">
            <w:pPr>
              <w:adjustRightInd w:val="0"/>
              <w:spacing w:line="240" w:lineRule="auto"/>
              <w:ind w:firstLine="0" w:firstLineChars="0"/>
              <w:jc w:val="center"/>
              <w:rPr>
                <w:sz w:val="21"/>
                <w:szCs w:val="21"/>
              </w:rPr>
            </w:pPr>
          </w:p>
        </w:tc>
        <w:tc>
          <w:tcPr>
            <w:tcW w:w="2089" w:type="pct"/>
            <w:vAlign w:val="center"/>
          </w:tcPr>
          <w:p w14:paraId="0C019D87">
            <w:pPr>
              <w:adjustRightInd w:val="0"/>
              <w:spacing w:line="240" w:lineRule="auto"/>
              <w:ind w:firstLine="0" w:firstLineChars="0"/>
              <w:jc w:val="center"/>
              <w:rPr>
                <w:sz w:val="21"/>
                <w:szCs w:val="21"/>
              </w:rPr>
            </w:pPr>
            <w:r>
              <w:rPr>
                <w:sz w:val="21"/>
                <w:szCs w:val="21"/>
              </w:rPr>
              <w:t>重心高度(m)</w:t>
            </w:r>
          </w:p>
        </w:tc>
        <w:tc>
          <w:tcPr>
            <w:tcW w:w="1787" w:type="pct"/>
            <w:vAlign w:val="center"/>
          </w:tcPr>
          <w:p w14:paraId="2BAF685F">
            <w:pPr>
              <w:adjustRightInd w:val="0"/>
              <w:spacing w:line="240" w:lineRule="auto"/>
              <w:ind w:firstLine="0" w:firstLineChars="0"/>
              <w:jc w:val="center"/>
              <w:rPr>
                <w:sz w:val="21"/>
                <w:szCs w:val="21"/>
              </w:rPr>
            </w:pPr>
            <w:r>
              <w:rPr>
                <w:sz w:val="21"/>
                <w:szCs w:val="21"/>
              </w:rPr>
              <w:t>/</w:t>
            </w:r>
          </w:p>
        </w:tc>
      </w:tr>
      <w:tr w14:paraId="566C81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vAlign w:val="center"/>
          </w:tcPr>
          <w:p w14:paraId="36AC1DDD">
            <w:pPr>
              <w:adjustRightInd w:val="0"/>
              <w:spacing w:line="240" w:lineRule="auto"/>
              <w:ind w:firstLine="0" w:firstLineChars="0"/>
              <w:jc w:val="center"/>
              <w:rPr>
                <w:sz w:val="21"/>
                <w:szCs w:val="21"/>
              </w:rPr>
            </w:pPr>
          </w:p>
        </w:tc>
        <w:tc>
          <w:tcPr>
            <w:tcW w:w="746" w:type="pct"/>
            <w:vMerge w:val="continue"/>
            <w:vAlign w:val="center"/>
          </w:tcPr>
          <w:p w14:paraId="53859C1D">
            <w:pPr>
              <w:adjustRightInd w:val="0"/>
              <w:spacing w:line="240" w:lineRule="auto"/>
              <w:ind w:firstLine="0" w:firstLineChars="0"/>
              <w:jc w:val="center"/>
              <w:rPr>
                <w:sz w:val="21"/>
                <w:szCs w:val="21"/>
              </w:rPr>
            </w:pPr>
          </w:p>
        </w:tc>
        <w:tc>
          <w:tcPr>
            <w:tcW w:w="2089" w:type="pct"/>
            <w:vAlign w:val="center"/>
          </w:tcPr>
          <w:p w14:paraId="185862CF">
            <w:pPr>
              <w:adjustRightInd w:val="0"/>
              <w:spacing w:line="240" w:lineRule="auto"/>
              <w:ind w:firstLine="0" w:firstLineChars="0"/>
              <w:jc w:val="center"/>
              <w:rPr>
                <w:sz w:val="21"/>
                <w:szCs w:val="21"/>
              </w:rPr>
            </w:pPr>
            <w:r>
              <w:rPr>
                <w:sz w:val="21"/>
                <w:szCs w:val="21"/>
              </w:rPr>
              <w:t>运输重量（t）</w:t>
            </w:r>
          </w:p>
        </w:tc>
        <w:tc>
          <w:tcPr>
            <w:tcW w:w="1787" w:type="pct"/>
            <w:vAlign w:val="center"/>
          </w:tcPr>
          <w:p w14:paraId="72530873">
            <w:pPr>
              <w:adjustRightInd w:val="0"/>
              <w:spacing w:line="240" w:lineRule="auto"/>
              <w:ind w:firstLine="0" w:firstLineChars="0"/>
              <w:jc w:val="center"/>
              <w:rPr>
                <w:sz w:val="21"/>
                <w:szCs w:val="21"/>
              </w:rPr>
            </w:pPr>
            <w:r>
              <w:rPr>
                <w:sz w:val="21"/>
                <w:szCs w:val="21"/>
              </w:rPr>
              <w:t>/</w:t>
            </w:r>
          </w:p>
        </w:tc>
      </w:tr>
      <w:tr w14:paraId="67DA42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vAlign w:val="center"/>
          </w:tcPr>
          <w:p w14:paraId="27CF50A5">
            <w:pPr>
              <w:adjustRightInd w:val="0"/>
              <w:spacing w:line="240" w:lineRule="auto"/>
              <w:ind w:firstLine="0" w:firstLineChars="0"/>
              <w:jc w:val="center"/>
              <w:rPr>
                <w:sz w:val="21"/>
                <w:szCs w:val="21"/>
              </w:rPr>
            </w:pPr>
          </w:p>
        </w:tc>
        <w:tc>
          <w:tcPr>
            <w:tcW w:w="746" w:type="pct"/>
            <w:vMerge w:val="continue"/>
            <w:vAlign w:val="center"/>
          </w:tcPr>
          <w:p w14:paraId="2797F3CA">
            <w:pPr>
              <w:adjustRightInd w:val="0"/>
              <w:spacing w:line="240" w:lineRule="auto"/>
              <w:ind w:firstLine="0" w:firstLineChars="0"/>
              <w:jc w:val="center"/>
              <w:rPr>
                <w:sz w:val="21"/>
                <w:szCs w:val="21"/>
              </w:rPr>
            </w:pPr>
          </w:p>
        </w:tc>
        <w:tc>
          <w:tcPr>
            <w:tcW w:w="2089" w:type="pct"/>
            <w:vAlign w:val="center"/>
          </w:tcPr>
          <w:p w14:paraId="47C1F676">
            <w:pPr>
              <w:adjustRightInd w:val="0"/>
              <w:spacing w:line="240" w:lineRule="auto"/>
              <w:ind w:firstLine="0" w:firstLineChars="0"/>
              <w:jc w:val="center"/>
              <w:rPr>
                <w:sz w:val="21"/>
                <w:szCs w:val="21"/>
              </w:rPr>
            </w:pPr>
            <w:r>
              <w:rPr>
                <w:sz w:val="21"/>
                <w:szCs w:val="21"/>
              </w:rPr>
              <w:t>运输时允许最大坡度</w:t>
            </w:r>
          </w:p>
        </w:tc>
        <w:tc>
          <w:tcPr>
            <w:tcW w:w="1787" w:type="pct"/>
            <w:vAlign w:val="center"/>
          </w:tcPr>
          <w:p w14:paraId="1DA9BD10">
            <w:pPr>
              <w:adjustRightInd w:val="0"/>
              <w:spacing w:line="240" w:lineRule="auto"/>
              <w:ind w:firstLine="0" w:firstLineChars="0"/>
              <w:jc w:val="center"/>
              <w:rPr>
                <w:sz w:val="21"/>
                <w:szCs w:val="21"/>
              </w:rPr>
            </w:pPr>
            <w:r>
              <w:rPr>
                <w:sz w:val="21"/>
                <w:szCs w:val="21"/>
              </w:rPr>
              <w:t>/</w:t>
            </w:r>
          </w:p>
        </w:tc>
      </w:tr>
      <w:tr w14:paraId="20560B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restart"/>
            <w:shd w:val="clear" w:color="auto" w:fill="auto"/>
            <w:vAlign w:val="center"/>
          </w:tcPr>
          <w:p w14:paraId="12F1485D">
            <w:pPr>
              <w:adjustRightInd w:val="0"/>
              <w:spacing w:line="240" w:lineRule="auto"/>
              <w:ind w:firstLine="0" w:firstLineChars="0"/>
              <w:jc w:val="center"/>
              <w:rPr>
                <w:sz w:val="21"/>
                <w:szCs w:val="21"/>
              </w:rPr>
            </w:pPr>
            <w:r>
              <w:rPr>
                <w:sz w:val="21"/>
                <w:szCs w:val="21"/>
              </w:rPr>
              <w:t>16</w:t>
            </w:r>
          </w:p>
        </w:tc>
        <w:tc>
          <w:tcPr>
            <w:tcW w:w="746" w:type="pct"/>
            <w:vMerge w:val="restart"/>
            <w:shd w:val="clear" w:color="auto" w:fill="auto"/>
            <w:vAlign w:val="center"/>
          </w:tcPr>
          <w:p w14:paraId="18AEBAD7">
            <w:pPr>
              <w:adjustRightInd w:val="0"/>
              <w:spacing w:line="240" w:lineRule="auto"/>
              <w:ind w:firstLine="0" w:firstLineChars="0"/>
              <w:jc w:val="center"/>
              <w:rPr>
                <w:sz w:val="21"/>
                <w:szCs w:val="21"/>
              </w:rPr>
            </w:pPr>
            <w:r>
              <w:rPr>
                <w:sz w:val="21"/>
                <w:szCs w:val="21"/>
              </w:rPr>
              <w:t>低压断路器</w:t>
            </w:r>
          </w:p>
        </w:tc>
        <w:tc>
          <w:tcPr>
            <w:tcW w:w="2089" w:type="pct"/>
            <w:shd w:val="clear" w:color="auto" w:fill="auto"/>
            <w:vAlign w:val="center"/>
          </w:tcPr>
          <w:p w14:paraId="05511BC8">
            <w:pPr>
              <w:adjustRightInd w:val="0"/>
              <w:spacing w:line="240" w:lineRule="auto"/>
              <w:ind w:firstLine="0" w:firstLineChars="0"/>
              <w:jc w:val="center"/>
              <w:rPr>
                <w:sz w:val="21"/>
                <w:szCs w:val="21"/>
              </w:rPr>
            </w:pPr>
            <w:r>
              <w:rPr>
                <w:sz w:val="21"/>
                <w:szCs w:val="21"/>
              </w:rPr>
              <w:t>额定电压</w:t>
            </w:r>
          </w:p>
        </w:tc>
        <w:tc>
          <w:tcPr>
            <w:tcW w:w="1787" w:type="pct"/>
            <w:shd w:val="clear" w:color="auto" w:fill="auto"/>
            <w:vAlign w:val="center"/>
          </w:tcPr>
          <w:p w14:paraId="0B52656E">
            <w:pPr>
              <w:adjustRightInd w:val="0"/>
              <w:spacing w:line="240" w:lineRule="auto"/>
              <w:ind w:firstLine="0" w:firstLineChars="0"/>
              <w:jc w:val="center"/>
              <w:rPr>
                <w:sz w:val="21"/>
                <w:szCs w:val="21"/>
              </w:rPr>
            </w:pPr>
            <w:r>
              <w:rPr>
                <w:sz w:val="21"/>
                <w:szCs w:val="21"/>
              </w:rPr>
              <w:t>380V</w:t>
            </w:r>
          </w:p>
        </w:tc>
      </w:tr>
      <w:tr w14:paraId="694840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shd w:val="clear" w:color="auto" w:fill="auto"/>
            <w:vAlign w:val="center"/>
          </w:tcPr>
          <w:p w14:paraId="4071B18D">
            <w:pPr>
              <w:adjustRightInd w:val="0"/>
              <w:spacing w:line="240" w:lineRule="auto"/>
              <w:ind w:firstLine="0" w:firstLineChars="0"/>
              <w:jc w:val="center"/>
              <w:rPr>
                <w:sz w:val="21"/>
                <w:szCs w:val="21"/>
              </w:rPr>
            </w:pPr>
          </w:p>
        </w:tc>
        <w:tc>
          <w:tcPr>
            <w:tcW w:w="746" w:type="pct"/>
            <w:vMerge w:val="continue"/>
            <w:shd w:val="clear" w:color="auto" w:fill="auto"/>
            <w:vAlign w:val="center"/>
          </w:tcPr>
          <w:p w14:paraId="7A965C31">
            <w:pPr>
              <w:adjustRightInd w:val="0"/>
              <w:spacing w:line="240" w:lineRule="auto"/>
              <w:ind w:firstLine="0" w:firstLineChars="0"/>
              <w:jc w:val="center"/>
              <w:rPr>
                <w:sz w:val="21"/>
                <w:szCs w:val="21"/>
              </w:rPr>
            </w:pPr>
          </w:p>
        </w:tc>
        <w:tc>
          <w:tcPr>
            <w:tcW w:w="2089" w:type="pct"/>
            <w:shd w:val="clear" w:color="auto" w:fill="auto"/>
            <w:vAlign w:val="center"/>
          </w:tcPr>
          <w:p w14:paraId="3AF339ED">
            <w:pPr>
              <w:adjustRightInd w:val="0"/>
              <w:spacing w:line="240" w:lineRule="auto"/>
              <w:ind w:firstLine="0" w:firstLineChars="0"/>
              <w:jc w:val="center"/>
              <w:rPr>
                <w:sz w:val="21"/>
                <w:szCs w:val="21"/>
              </w:rPr>
            </w:pPr>
            <w:r>
              <w:rPr>
                <w:sz w:val="21"/>
                <w:szCs w:val="21"/>
              </w:rPr>
              <w:t>额定电流</w:t>
            </w:r>
          </w:p>
        </w:tc>
        <w:tc>
          <w:tcPr>
            <w:tcW w:w="1787" w:type="pct"/>
            <w:shd w:val="clear" w:color="auto" w:fill="auto"/>
            <w:vAlign w:val="center"/>
          </w:tcPr>
          <w:p w14:paraId="4C41CAA1">
            <w:pPr>
              <w:adjustRightInd w:val="0"/>
              <w:spacing w:line="240" w:lineRule="auto"/>
              <w:ind w:firstLine="0" w:firstLineChars="0"/>
              <w:jc w:val="center"/>
              <w:rPr>
                <w:sz w:val="21"/>
                <w:szCs w:val="21"/>
              </w:rPr>
            </w:pPr>
            <w:r>
              <w:rPr>
                <w:rFonts w:hint="eastAsia"/>
                <w:sz w:val="21"/>
                <w:szCs w:val="21"/>
              </w:rPr>
              <w:t>16</w:t>
            </w:r>
            <w:r>
              <w:rPr>
                <w:sz w:val="21"/>
                <w:szCs w:val="21"/>
              </w:rPr>
              <w:t>00A</w:t>
            </w:r>
          </w:p>
        </w:tc>
      </w:tr>
      <w:tr w14:paraId="712A09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shd w:val="clear" w:color="auto" w:fill="auto"/>
            <w:vAlign w:val="center"/>
          </w:tcPr>
          <w:p w14:paraId="6DCCB3C7">
            <w:pPr>
              <w:adjustRightInd w:val="0"/>
              <w:spacing w:line="240" w:lineRule="auto"/>
              <w:ind w:firstLine="0" w:firstLineChars="0"/>
              <w:jc w:val="center"/>
              <w:rPr>
                <w:sz w:val="21"/>
                <w:szCs w:val="21"/>
              </w:rPr>
            </w:pPr>
          </w:p>
        </w:tc>
        <w:tc>
          <w:tcPr>
            <w:tcW w:w="746" w:type="pct"/>
            <w:vMerge w:val="continue"/>
            <w:shd w:val="clear" w:color="auto" w:fill="auto"/>
            <w:vAlign w:val="center"/>
          </w:tcPr>
          <w:p w14:paraId="034697D3">
            <w:pPr>
              <w:adjustRightInd w:val="0"/>
              <w:spacing w:line="240" w:lineRule="auto"/>
              <w:ind w:firstLine="0" w:firstLineChars="0"/>
              <w:jc w:val="center"/>
              <w:rPr>
                <w:sz w:val="21"/>
                <w:szCs w:val="21"/>
              </w:rPr>
            </w:pPr>
          </w:p>
        </w:tc>
        <w:tc>
          <w:tcPr>
            <w:tcW w:w="2089" w:type="pct"/>
            <w:shd w:val="clear" w:color="auto" w:fill="auto"/>
            <w:vAlign w:val="center"/>
          </w:tcPr>
          <w:p w14:paraId="4F40E76A">
            <w:pPr>
              <w:adjustRightInd w:val="0"/>
              <w:spacing w:line="240" w:lineRule="auto"/>
              <w:ind w:firstLine="0" w:firstLineChars="0"/>
              <w:jc w:val="center"/>
              <w:rPr>
                <w:sz w:val="21"/>
                <w:szCs w:val="21"/>
              </w:rPr>
            </w:pPr>
            <w:r>
              <w:rPr>
                <w:sz w:val="21"/>
                <w:szCs w:val="21"/>
              </w:rPr>
              <w:t>遮断能力（kA）1S</w:t>
            </w:r>
          </w:p>
        </w:tc>
        <w:tc>
          <w:tcPr>
            <w:tcW w:w="1787" w:type="pct"/>
            <w:shd w:val="clear" w:color="auto" w:fill="auto"/>
            <w:vAlign w:val="center"/>
          </w:tcPr>
          <w:p w14:paraId="7ADE50F3">
            <w:pPr>
              <w:adjustRightInd w:val="0"/>
              <w:spacing w:line="240" w:lineRule="auto"/>
              <w:ind w:firstLine="0" w:firstLineChars="0"/>
              <w:jc w:val="center"/>
              <w:rPr>
                <w:sz w:val="21"/>
                <w:szCs w:val="21"/>
              </w:rPr>
            </w:pPr>
            <w:r>
              <w:rPr>
                <w:sz w:val="21"/>
                <w:szCs w:val="21"/>
              </w:rPr>
              <w:t>≥50</w:t>
            </w:r>
          </w:p>
        </w:tc>
      </w:tr>
      <w:tr w14:paraId="37EE42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shd w:val="clear" w:color="auto" w:fill="auto"/>
            <w:vAlign w:val="center"/>
          </w:tcPr>
          <w:p w14:paraId="2241F2FF">
            <w:pPr>
              <w:adjustRightInd w:val="0"/>
              <w:spacing w:line="240" w:lineRule="auto"/>
              <w:ind w:firstLine="0" w:firstLineChars="0"/>
              <w:jc w:val="center"/>
              <w:rPr>
                <w:sz w:val="21"/>
                <w:szCs w:val="21"/>
              </w:rPr>
            </w:pPr>
          </w:p>
        </w:tc>
        <w:tc>
          <w:tcPr>
            <w:tcW w:w="746" w:type="pct"/>
            <w:vMerge w:val="continue"/>
            <w:shd w:val="clear" w:color="auto" w:fill="auto"/>
            <w:vAlign w:val="center"/>
          </w:tcPr>
          <w:p w14:paraId="726166BD">
            <w:pPr>
              <w:adjustRightInd w:val="0"/>
              <w:spacing w:line="240" w:lineRule="auto"/>
              <w:ind w:firstLine="0" w:firstLineChars="0"/>
              <w:jc w:val="center"/>
              <w:rPr>
                <w:sz w:val="21"/>
                <w:szCs w:val="21"/>
              </w:rPr>
            </w:pPr>
          </w:p>
        </w:tc>
        <w:tc>
          <w:tcPr>
            <w:tcW w:w="2089" w:type="pct"/>
            <w:shd w:val="clear" w:color="auto" w:fill="auto"/>
            <w:vAlign w:val="center"/>
          </w:tcPr>
          <w:p w14:paraId="7427F3F3">
            <w:pPr>
              <w:adjustRightInd w:val="0"/>
              <w:spacing w:line="240" w:lineRule="auto"/>
              <w:ind w:firstLine="0" w:firstLineChars="0"/>
              <w:jc w:val="center"/>
              <w:rPr>
                <w:sz w:val="21"/>
                <w:szCs w:val="21"/>
              </w:rPr>
            </w:pPr>
            <w:r>
              <w:rPr>
                <w:sz w:val="21"/>
                <w:szCs w:val="21"/>
              </w:rPr>
              <w:t>操作方式</w:t>
            </w:r>
          </w:p>
        </w:tc>
        <w:tc>
          <w:tcPr>
            <w:tcW w:w="1787" w:type="pct"/>
            <w:shd w:val="clear" w:color="auto" w:fill="auto"/>
            <w:vAlign w:val="center"/>
          </w:tcPr>
          <w:p w14:paraId="562ADF96">
            <w:pPr>
              <w:adjustRightInd w:val="0"/>
              <w:spacing w:line="240" w:lineRule="auto"/>
              <w:ind w:firstLine="0" w:firstLineChars="0"/>
              <w:jc w:val="center"/>
              <w:rPr>
                <w:sz w:val="21"/>
                <w:szCs w:val="21"/>
              </w:rPr>
            </w:pPr>
            <w:r>
              <w:rPr>
                <w:sz w:val="21"/>
                <w:szCs w:val="21"/>
              </w:rPr>
              <w:t>塑壳断路器为手动，</w:t>
            </w:r>
          </w:p>
          <w:p w14:paraId="695AF3B5">
            <w:pPr>
              <w:adjustRightInd w:val="0"/>
              <w:spacing w:line="240" w:lineRule="auto"/>
              <w:ind w:firstLine="0" w:firstLineChars="0"/>
              <w:jc w:val="center"/>
              <w:rPr>
                <w:sz w:val="21"/>
                <w:szCs w:val="21"/>
              </w:rPr>
            </w:pPr>
            <w:r>
              <w:rPr>
                <w:sz w:val="21"/>
                <w:szCs w:val="21"/>
              </w:rPr>
              <w:t>框架断路器为手动和电动</w:t>
            </w:r>
          </w:p>
        </w:tc>
      </w:tr>
      <w:tr w14:paraId="3247F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Merge w:val="continue"/>
            <w:shd w:val="clear" w:color="auto" w:fill="auto"/>
            <w:vAlign w:val="center"/>
          </w:tcPr>
          <w:p w14:paraId="57687F52">
            <w:pPr>
              <w:adjustRightInd w:val="0"/>
              <w:spacing w:line="240" w:lineRule="auto"/>
              <w:ind w:firstLine="0" w:firstLineChars="0"/>
              <w:jc w:val="center"/>
              <w:rPr>
                <w:sz w:val="21"/>
                <w:szCs w:val="21"/>
              </w:rPr>
            </w:pPr>
          </w:p>
        </w:tc>
        <w:tc>
          <w:tcPr>
            <w:tcW w:w="746" w:type="pct"/>
            <w:vMerge w:val="continue"/>
            <w:shd w:val="clear" w:color="auto" w:fill="auto"/>
            <w:vAlign w:val="center"/>
          </w:tcPr>
          <w:p w14:paraId="043433F2">
            <w:pPr>
              <w:adjustRightInd w:val="0"/>
              <w:spacing w:line="240" w:lineRule="auto"/>
              <w:ind w:firstLine="0" w:firstLineChars="0"/>
              <w:jc w:val="center"/>
              <w:rPr>
                <w:sz w:val="21"/>
                <w:szCs w:val="21"/>
              </w:rPr>
            </w:pPr>
          </w:p>
        </w:tc>
        <w:tc>
          <w:tcPr>
            <w:tcW w:w="2089" w:type="pct"/>
            <w:shd w:val="clear" w:color="auto" w:fill="auto"/>
            <w:vAlign w:val="center"/>
          </w:tcPr>
          <w:p w14:paraId="5357459C">
            <w:pPr>
              <w:adjustRightInd w:val="0"/>
              <w:spacing w:line="240" w:lineRule="auto"/>
              <w:ind w:firstLine="0" w:firstLineChars="0"/>
              <w:jc w:val="center"/>
              <w:rPr>
                <w:sz w:val="21"/>
                <w:szCs w:val="21"/>
              </w:rPr>
            </w:pPr>
            <w:r>
              <w:rPr>
                <w:sz w:val="21"/>
                <w:szCs w:val="21"/>
              </w:rPr>
              <w:t>主母线材质</w:t>
            </w:r>
          </w:p>
        </w:tc>
        <w:tc>
          <w:tcPr>
            <w:tcW w:w="1787" w:type="pct"/>
            <w:shd w:val="clear" w:color="auto" w:fill="auto"/>
            <w:vAlign w:val="center"/>
          </w:tcPr>
          <w:p w14:paraId="4BD36D16">
            <w:pPr>
              <w:adjustRightInd w:val="0"/>
              <w:spacing w:line="240" w:lineRule="auto"/>
              <w:ind w:firstLine="0" w:firstLineChars="0"/>
              <w:jc w:val="center"/>
              <w:rPr>
                <w:sz w:val="21"/>
                <w:szCs w:val="21"/>
              </w:rPr>
            </w:pPr>
            <w:r>
              <w:rPr>
                <w:sz w:val="21"/>
                <w:szCs w:val="21"/>
              </w:rPr>
              <w:t>铜</w:t>
            </w:r>
          </w:p>
        </w:tc>
      </w:tr>
      <w:tr w14:paraId="727811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5D964649">
            <w:pPr>
              <w:adjustRightInd w:val="0"/>
              <w:spacing w:line="240" w:lineRule="auto"/>
              <w:ind w:firstLine="0" w:firstLineChars="0"/>
              <w:jc w:val="center"/>
              <w:rPr>
                <w:sz w:val="21"/>
                <w:szCs w:val="21"/>
              </w:rPr>
            </w:pPr>
            <w:r>
              <w:rPr>
                <w:sz w:val="21"/>
                <w:szCs w:val="21"/>
              </w:rPr>
              <w:t>17</w:t>
            </w:r>
          </w:p>
        </w:tc>
        <w:tc>
          <w:tcPr>
            <w:tcW w:w="2835" w:type="pct"/>
            <w:gridSpan w:val="2"/>
            <w:vAlign w:val="center"/>
          </w:tcPr>
          <w:p w14:paraId="5A1CA705">
            <w:pPr>
              <w:adjustRightInd w:val="0"/>
              <w:spacing w:line="240" w:lineRule="auto"/>
              <w:ind w:firstLine="0" w:firstLineChars="0"/>
              <w:jc w:val="center"/>
              <w:rPr>
                <w:sz w:val="21"/>
                <w:szCs w:val="21"/>
              </w:rPr>
            </w:pPr>
            <w:r>
              <w:rPr>
                <w:sz w:val="21"/>
                <w:szCs w:val="21"/>
              </w:rPr>
              <w:t>箱式变电站防护等级</w:t>
            </w:r>
          </w:p>
        </w:tc>
        <w:tc>
          <w:tcPr>
            <w:tcW w:w="1787" w:type="pct"/>
            <w:vAlign w:val="center"/>
          </w:tcPr>
          <w:p w14:paraId="3E858640">
            <w:pPr>
              <w:adjustRightInd w:val="0"/>
              <w:spacing w:line="240" w:lineRule="auto"/>
              <w:ind w:firstLine="0" w:firstLineChars="0"/>
              <w:jc w:val="center"/>
              <w:rPr>
                <w:sz w:val="21"/>
                <w:szCs w:val="21"/>
              </w:rPr>
            </w:pPr>
            <w:r>
              <w:rPr>
                <w:sz w:val="21"/>
                <w:szCs w:val="21"/>
              </w:rPr>
              <w:t>IP56</w:t>
            </w:r>
          </w:p>
        </w:tc>
      </w:tr>
      <w:tr w14:paraId="142E16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7" w:type="pct"/>
            <w:vAlign w:val="center"/>
          </w:tcPr>
          <w:p w14:paraId="4F9A7254">
            <w:pPr>
              <w:adjustRightInd w:val="0"/>
              <w:spacing w:line="240" w:lineRule="auto"/>
              <w:ind w:firstLine="0" w:firstLineChars="0"/>
              <w:jc w:val="center"/>
              <w:rPr>
                <w:sz w:val="21"/>
                <w:szCs w:val="21"/>
              </w:rPr>
            </w:pPr>
            <w:r>
              <w:rPr>
                <w:sz w:val="21"/>
                <w:szCs w:val="21"/>
              </w:rPr>
              <w:t>18</w:t>
            </w:r>
          </w:p>
        </w:tc>
        <w:tc>
          <w:tcPr>
            <w:tcW w:w="2835" w:type="pct"/>
            <w:gridSpan w:val="2"/>
            <w:vAlign w:val="center"/>
          </w:tcPr>
          <w:p w14:paraId="6A90AA22">
            <w:pPr>
              <w:adjustRightInd w:val="0"/>
              <w:spacing w:line="240" w:lineRule="auto"/>
              <w:ind w:firstLine="0" w:firstLineChars="0"/>
              <w:jc w:val="center"/>
              <w:rPr>
                <w:sz w:val="21"/>
                <w:szCs w:val="21"/>
              </w:rPr>
            </w:pPr>
            <w:r>
              <w:rPr>
                <w:sz w:val="21"/>
                <w:szCs w:val="21"/>
              </w:rPr>
              <w:t>其它</w:t>
            </w:r>
          </w:p>
        </w:tc>
        <w:tc>
          <w:tcPr>
            <w:tcW w:w="1787" w:type="pct"/>
            <w:vAlign w:val="center"/>
          </w:tcPr>
          <w:p w14:paraId="7E47014E">
            <w:pPr>
              <w:adjustRightInd w:val="0"/>
              <w:spacing w:line="240" w:lineRule="auto"/>
              <w:ind w:firstLine="0" w:firstLineChars="0"/>
              <w:jc w:val="center"/>
              <w:rPr>
                <w:sz w:val="21"/>
                <w:szCs w:val="21"/>
              </w:rPr>
            </w:pPr>
            <w:r>
              <w:rPr>
                <w:sz w:val="21"/>
                <w:szCs w:val="21"/>
              </w:rPr>
              <w:t>/</w:t>
            </w:r>
          </w:p>
        </w:tc>
      </w:tr>
    </w:tbl>
    <w:p w14:paraId="1FBDFE08">
      <w:pPr>
        <w:adjustRightInd w:val="0"/>
        <w:spacing w:line="360" w:lineRule="auto"/>
        <w:ind w:firstLine="480"/>
      </w:pPr>
    </w:p>
    <w:p w14:paraId="75736CDE">
      <w:pPr>
        <w:adjustRightInd w:val="0"/>
        <w:spacing w:line="360" w:lineRule="auto"/>
        <w:ind w:firstLine="480"/>
      </w:pPr>
      <w:r>
        <w:rPr>
          <w:rFonts w:hint="eastAsia"/>
          <w:lang w:val="en-US" w:eastAsia="zh-CN"/>
        </w:rPr>
        <w:t xml:space="preserve">表5.2.6-5          </w:t>
      </w:r>
      <w:r>
        <w:t>400kVA箱变技术数据表</w:t>
      </w:r>
    </w:p>
    <w:tbl>
      <w:tblPr>
        <w:tblStyle w:val="28"/>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689"/>
        <w:gridCol w:w="1362"/>
        <w:gridCol w:w="3813"/>
        <w:gridCol w:w="3262"/>
      </w:tblGrid>
      <w:tr w14:paraId="66743E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blHeader/>
        </w:trPr>
        <w:tc>
          <w:tcPr>
            <w:tcW w:w="378" w:type="pct"/>
            <w:vAlign w:val="center"/>
          </w:tcPr>
          <w:p w14:paraId="39751765">
            <w:pPr>
              <w:adjustRightInd w:val="0"/>
              <w:spacing w:line="240" w:lineRule="auto"/>
              <w:ind w:firstLine="0" w:firstLineChars="0"/>
              <w:jc w:val="center"/>
              <w:rPr>
                <w:sz w:val="21"/>
                <w:szCs w:val="21"/>
              </w:rPr>
            </w:pPr>
            <w:r>
              <w:rPr>
                <w:sz w:val="21"/>
                <w:szCs w:val="21"/>
              </w:rPr>
              <w:t>序号</w:t>
            </w:r>
          </w:p>
        </w:tc>
        <w:tc>
          <w:tcPr>
            <w:tcW w:w="2835" w:type="pct"/>
            <w:gridSpan w:val="2"/>
            <w:vAlign w:val="center"/>
          </w:tcPr>
          <w:p w14:paraId="31DB9DCB">
            <w:pPr>
              <w:adjustRightInd w:val="0"/>
              <w:spacing w:line="240" w:lineRule="auto"/>
              <w:ind w:firstLine="0" w:firstLineChars="0"/>
              <w:jc w:val="center"/>
              <w:rPr>
                <w:sz w:val="21"/>
                <w:szCs w:val="21"/>
              </w:rPr>
            </w:pPr>
            <w:r>
              <w:rPr>
                <w:sz w:val="21"/>
                <w:szCs w:val="21"/>
              </w:rPr>
              <w:t>名  称</w:t>
            </w:r>
          </w:p>
        </w:tc>
        <w:tc>
          <w:tcPr>
            <w:tcW w:w="1787" w:type="pct"/>
            <w:vAlign w:val="center"/>
          </w:tcPr>
          <w:p w14:paraId="1075D19C">
            <w:pPr>
              <w:adjustRightInd w:val="0"/>
              <w:spacing w:line="240" w:lineRule="auto"/>
              <w:ind w:firstLine="0" w:firstLineChars="0"/>
              <w:jc w:val="center"/>
              <w:rPr>
                <w:sz w:val="21"/>
                <w:szCs w:val="21"/>
              </w:rPr>
            </w:pPr>
            <w:r>
              <w:rPr>
                <w:sz w:val="21"/>
                <w:szCs w:val="21"/>
              </w:rPr>
              <w:t>保证值</w:t>
            </w:r>
          </w:p>
        </w:tc>
      </w:tr>
      <w:tr w14:paraId="7332BF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45F7B856">
            <w:pPr>
              <w:adjustRightInd w:val="0"/>
              <w:spacing w:line="240" w:lineRule="auto"/>
              <w:ind w:firstLine="0" w:firstLineChars="0"/>
              <w:jc w:val="center"/>
              <w:rPr>
                <w:sz w:val="21"/>
                <w:szCs w:val="21"/>
              </w:rPr>
            </w:pPr>
            <w:r>
              <w:rPr>
                <w:sz w:val="21"/>
                <w:szCs w:val="21"/>
              </w:rPr>
              <w:t>1</w:t>
            </w:r>
          </w:p>
        </w:tc>
        <w:tc>
          <w:tcPr>
            <w:tcW w:w="2835" w:type="pct"/>
            <w:gridSpan w:val="2"/>
            <w:vAlign w:val="center"/>
          </w:tcPr>
          <w:p w14:paraId="2B8B1399">
            <w:pPr>
              <w:adjustRightInd w:val="0"/>
              <w:spacing w:line="240" w:lineRule="auto"/>
              <w:ind w:firstLine="0" w:firstLineChars="0"/>
              <w:jc w:val="center"/>
              <w:rPr>
                <w:sz w:val="21"/>
                <w:szCs w:val="21"/>
              </w:rPr>
            </w:pPr>
            <w:r>
              <w:rPr>
                <w:sz w:val="21"/>
                <w:szCs w:val="21"/>
              </w:rPr>
              <w:t>干式变压器的规格和型号</w:t>
            </w:r>
          </w:p>
        </w:tc>
        <w:tc>
          <w:tcPr>
            <w:tcW w:w="1787" w:type="pct"/>
            <w:vAlign w:val="center"/>
          </w:tcPr>
          <w:p w14:paraId="3924F11D">
            <w:pPr>
              <w:adjustRightInd w:val="0"/>
              <w:spacing w:line="240" w:lineRule="auto"/>
              <w:ind w:firstLine="0" w:firstLineChars="0"/>
              <w:jc w:val="center"/>
              <w:rPr>
                <w:sz w:val="21"/>
                <w:szCs w:val="21"/>
              </w:rPr>
            </w:pPr>
            <w:r>
              <w:rPr>
                <w:sz w:val="21"/>
                <w:szCs w:val="21"/>
              </w:rPr>
              <w:t>SCB14-400kVA</w:t>
            </w:r>
          </w:p>
          <w:p w14:paraId="2679FB14">
            <w:pPr>
              <w:adjustRightInd w:val="0"/>
              <w:spacing w:line="240" w:lineRule="auto"/>
              <w:ind w:firstLine="0" w:firstLineChars="0"/>
              <w:jc w:val="center"/>
              <w:rPr>
                <w:sz w:val="21"/>
                <w:szCs w:val="21"/>
              </w:rPr>
            </w:pPr>
            <w:r>
              <w:rPr>
                <w:sz w:val="21"/>
                <w:szCs w:val="21"/>
              </w:rPr>
              <w:t>10±2×2.5%/0.4kV</w:t>
            </w:r>
          </w:p>
        </w:tc>
      </w:tr>
      <w:tr w14:paraId="4B4F00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restart"/>
            <w:vAlign w:val="center"/>
          </w:tcPr>
          <w:p w14:paraId="5C9E7114">
            <w:pPr>
              <w:adjustRightInd w:val="0"/>
              <w:spacing w:line="240" w:lineRule="auto"/>
              <w:ind w:firstLine="0" w:firstLineChars="0"/>
              <w:jc w:val="center"/>
              <w:rPr>
                <w:sz w:val="21"/>
                <w:szCs w:val="21"/>
              </w:rPr>
            </w:pPr>
            <w:r>
              <w:rPr>
                <w:sz w:val="21"/>
                <w:szCs w:val="21"/>
              </w:rPr>
              <w:t>2</w:t>
            </w:r>
          </w:p>
        </w:tc>
        <w:tc>
          <w:tcPr>
            <w:tcW w:w="746" w:type="pct"/>
            <w:vMerge w:val="restart"/>
            <w:vAlign w:val="center"/>
          </w:tcPr>
          <w:p w14:paraId="715E1BD4">
            <w:pPr>
              <w:adjustRightInd w:val="0"/>
              <w:spacing w:line="240" w:lineRule="auto"/>
              <w:ind w:firstLine="0" w:firstLineChars="0"/>
              <w:jc w:val="center"/>
              <w:rPr>
                <w:sz w:val="21"/>
                <w:szCs w:val="21"/>
              </w:rPr>
            </w:pPr>
            <w:r>
              <w:rPr>
                <w:sz w:val="21"/>
                <w:szCs w:val="21"/>
              </w:rPr>
              <w:t>干式变压器的额定电压</w:t>
            </w:r>
          </w:p>
        </w:tc>
        <w:tc>
          <w:tcPr>
            <w:tcW w:w="2089" w:type="pct"/>
            <w:vAlign w:val="center"/>
          </w:tcPr>
          <w:p w14:paraId="12087F77">
            <w:pPr>
              <w:adjustRightInd w:val="0"/>
              <w:spacing w:line="240" w:lineRule="auto"/>
              <w:ind w:firstLine="0" w:firstLineChars="0"/>
              <w:jc w:val="center"/>
              <w:rPr>
                <w:sz w:val="21"/>
                <w:szCs w:val="21"/>
              </w:rPr>
            </w:pPr>
            <w:r>
              <w:rPr>
                <w:sz w:val="21"/>
                <w:szCs w:val="21"/>
              </w:rPr>
              <w:t>高压侧</w:t>
            </w:r>
          </w:p>
        </w:tc>
        <w:tc>
          <w:tcPr>
            <w:tcW w:w="1787" w:type="pct"/>
            <w:vAlign w:val="center"/>
          </w:tcPr>
          <w:p w14:paraId="29AC0089">
            <w:pPr>
              <w:adjustRightInd w:val="0"/>
              <w:spacing w:line="240" w:lineRule="auto"/>
              <w:ind w:firstLine="0" w:firstLineChars="0"/>
              <w:jc w:val="center"/>
              <w:rPr>
                <w:sz w:val="21"/>
                <w:szCs w:val="21"/>
              </w:rPr>
            </w:pPr>
            <w:r>
              <w:rPr>
                <w:sz w:val="21"/>
                <w:szCs w:val="21"/>
              </w:rPr>
              <w:t>10kV</w:t>
            </w:r>
          </w:p>
        </w:tc>
      </w:tr>
      <w:tr w14:paraId="53239D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vAlign w:val="center"/>
          </w:tcPr>
          <w:p w14:paraId="059B951B">
            <w:pPr>
              <w:adjustRightInd w:val="0"/>
              <w:spacing w:line="240" w:lineRule="auto"/>
              <w:ind w:firstLine="0" w:firstLineChars="0"/>
              <w:jc w:val="center"/>
              <w:rPr>
                <w:sz w:val="21"/>
                <w:szCs w:val="21"/>
              </w:rPr>
            </w:pPr>
          </w:p>
        </w:tc>
        <w:tc>
          <w:tcPr>
            <w:tcW w:w="746" w:type="pct"/>
            <w:vMerge w:val="continue"/>
            <w:vAlign w:val="center"/>
          </w:tcPr>
          <w:p w14:paraId="599C004F">
            <w:pPr>
              <w:adjustRightInd w:val="0"/>
              <w:spacing w:line="240" w:lineRule="auto"/>
              <w:ind w:firstLine="0" w:firstLineChars="0"/>
              <w:jc w:val="center"/>
              <w:rPr>
                <w:sz w:val="21"/>
                <w:szCs w:val="21"/>
              </w:rPr>
            </w:pPr>
          </w:p>
        </w:tc>
        <w:tc>
          <w:tcPr>
            <w:tcW w:w="2089" w:type="pct"/>
            <w:vAlign w:val="center"/>
          </w:tcPr>
          <w:p w14:paraId="5F543508">
            <w:pPr>
              <w:adjustRightInd w:val="0"/>
              <w:spacing w:line="240" w:lineRule="auto"/>
              <w:ind w:firstLine="0" w:firstLineChars="0"/>
              <w:jc w:val="center"/>
              <w:rPr>
                <w:sz w:val="21"/>
                <w:szCs w:val="21"/>
              </w:rPr>
            </w:pPr>
            <w:r>
              <w:rPr>
                <w:sz w:val="21"/>
                <w:szCs w:val="21"/>
              </w:rPr>
              <w:t>低压侧</w:t>
            </w:r>
          </w:p>
        </w:tc>
        <w:tc>
          <w:tcPr>
            <w:tcW w:w="1787" w:type="pct"/>
            <w:vAlign w:val="center"/>
          </w:tcPr>
          <w:p w14:paraId="20A034F1">
            <w:pPr>
              <w:adjustRightInd w:val="0"/>
              <w:spacing w:line="240" w:lineRule="auto"/>
              <w:ind w:firstLine="0" w:firstLineChars="0"/>
              <w:jc w:val="center"/>
              <w:rPr>
                <w:sz w:val="21"/>
                <w:szCs w:val="21"/>
              </w:rPr>
            </w:pPr>
            <w:r>
              <w:rPr>
                <w:sz w:val="21"/>
                <w:szCs w:val="21"/>
              </w:rPr>
              <w:t>400V</w:t>
            </w:r>
          </w:p>
        </w:tc>
      </w:tr>
      <w:tr w14:paraId="7385AA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58B13879">
            <w:pPr>
              <w:adjustRightInd w:val="0"/>
              <w:spacing w:line="240" w:lineRule="auto"/>
              <w:ind w:firstLine="0" w:firstLineChars="0"/>
              <w:jc w:val="center"/>
              <w:rPr>
                <w:sz w:val="21"/>
                <w:szCs w:val="21"/>
              </w:rPr>
            </w:pPr>
            <w:r>
              <w:rPr>
                <w:sz w:val="21"/>
                <w:szCs w:val="21"/>
              </w:rPr>
              <w:t>3</w:t>
            </w:r>
          </w:p>
        </w:tc>
        <w:tc>
          <w:tcPr>
            <w:tcW w:w="2835" w:type="pct"/>
            <w:gridSpan w:val="2"/>
            <w:vAlign w:val="center"/>
          </w:tcPr>
          <w:p w14:paraId="2CAF0B43">
            <w:pPr>
              <w:adjustRightInd w:val="0"/>
              <w:spacing w:line="240" w:lineRule="auto"/>
              <w:ind w:firstLine="0" w:firstLineChars="0"/>
              <w:jc w:val="center"/>
              <w:rPr>
                <w:sz w:val="21"/>
                <w:szCs w:val="21"/>
              </w:rPr>
            </w:pPr>
            <w:r>
              <w:rPr>
                <w:sz w:val="21"/>
                <w:szCs w:val="21"/>
              </w:rPr>
              <w:t>干式变压器接线组别</w:t>
            </w:r>
          </w:p>
        </w:tc>
        <w:tc>
          <w:tcPr>
            <w:tcW w:w="1787" w:type="pct"/>
            <w:vAlign w:val="center"/>
          </w:tcPr>
          <w:p w14:paraId="56FC0605">
            <w:pPr>
              <w:adjustRightInd w:val="0"/>
              <w:spacing w:line="240" w:lineRule="auto"/>
              <w:ind w:firstLine="0" w:firstLineChars="0"/>
              <w:jc w:val="center"/>
              <w:rPr>
                <w:sz w:val="21"/>
                <w:szCs w:val="21"/>
              </w:rPr>
            </w:pPr>
            <w:r>
              <w:rPr>
                <w:sz w:val="21"/>
                <w:szCs w:val="21"/>
              </w:rPr>
              <w:t>D，yn11</w:t>
            </w:r>
          </w:p>
        </w:tc>
      </w:tr>
      <w:tr w14:paraId="5D6FEF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0CCACB3B">
            <w:pPr>
              <w:adjustRightInd w:val="0"/>
              <w:spacing w:line="240" w:lineRule="auto"/>
              <w:ind w:firstLine="0" w:firstLineChars="0"/>
              <w:jc w:val="center"/>
              <w:rPr>
                <w:sz w:val="21"/>
                <w:szCs w:val="21"/>
              </w:rPr>
            </w:pPr>
            <w:r>
              <w:rPr>
                <w:sz w:val="21"/>
                <w:szCs w:val="21"/>
              </w:rPr>
              <w:t>4</w:t>
            </w:r>
          </w:p>
        </w:tc>
        <w:tc>
          <w:tcPr>
            <w:tcW w:w="2835" w:type="pct"/>
            <w:gridSpan w:val="2"/>
            <w:vAlign w:val="center"/>
          </w:tcPr>
          <w:p w14:paraId="4ABB75F6">
            <w:pPr>
              <w:adjustRightInd w:val="0"/>
              <w:spacing w:line="240" w:lineRule="auto"/>
              <w:ind w:firstLine="0" w:firstLineChars="0"/>
              <w:jc w:val="center"/>
              <w:rPr>
                <w:sz w:val="21"/>
                <w:szCs w:val="21"/>
              </w:rPr>
            </w:pPr>
            <w:r>
              <w:rPr>
                <w:sz w:val="21"/>
                <w:szCs w:val="21"/>
              </w:rPr>
              <w:t>干式变压器冷却方式</w:t>
            </w:r>
          </w:p>
        </w:tc>
        <w:tc>
          <w:tcPr>
            <w:tcW w:w="1787" w:type="pct"/>
            <w:vAlign w:val="center"/>
          </w:tcPr>
          <w:p w14:paraId="1424267E">
            <w:pPr>
              <w:adjustRightInd w:val="0"/>
              <w:spacing w:line="240" w:lineRule="auto"/>
              <w:ind w:firstLine="0" w:firstLineChars="0"/>
              <w:jc w:val="center"/>
              <w:rPr>
                <w:sz w:val="21"/>
                <w:szCs w:val="21"/>
              </w:rPr>
            </w:pPr>
            <w:r>
              <w:rPr>
                <w:sz w:val="21"/>
                <w:szCs w:val="21"/>
              </w:rPr>
              <w:t>自冷</w:t>
            </w:r>
          </w:p>
        </w:tc>
      </w:tr>
      <w:tr w14:paraId="48DDC4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386D6885">
            <w:pPr>
              <w:adjustRightInd w:val="0"/>
              <w:spacing w:line="240" w:lineRule="auto"/>
              <w:ind w:firstLine="0" w:firstLineChars="0"/>
              <w:jc w:val="center"/>
              <w:rPr>
                <w:sz w:val="21"/>
                <w:szCs w:val="21"/>
              </w:rPr>
            </w:pPr>
            <w:r>
              <w:rPr>
                <w:sz w:val="21"/>
                <w:szCs w:val="21"/>
              </w:rPr>
              <w:t>5</w:t>
            </w:r>
          </w:p>
        </w:tc>
        <w:tc>
          <w:tcPr>
            <w:tcW w:w="2835" w:type="pct"/>
            <w:gridSpan w:val="2"/>
            <w:vAlign w:val="center"/>
          </w:tcPr>
          <w:p w14:paraId="65B06B05">
            <w:pPr>
              <w:adjustRightInd w:val="0"/>
              <w:spacing w:line="240" w:lineRule="auto"/>
              <w:ind w:firstLine="0" w:firstLineChars="0"/>
              <w:jc w:val="center"/>
              <w:rPr>
                <w:sz w:val="21"/>
                <w:szCs w:val="21"/>
              </w:rPr>
            </w:pPr>
            <w:r>
              <w:rPr>
                <w:sz w:val="21"/>
                <w:szCs w:val="21"/>
              </w:rPr>
              <w:t>干式变压器阻抗百分数</w:t>
            </w:r>
          </w:p>
        </w:tc>
        <w:tc>
          <w:tcPr>
            <w:tcW w:w="1787" w:type="pct"/>
            <w:vAlign w:val="center"/>
          </w:tcPr>
          <w:p w14:paraId="2DCFDC86">
            <w:pPr>
              <w:adjustRightInd w:val="0"/>
              <w:spacing w:line="240" w:lineRule="auto"/>
              <w:ind w:firstLine="0" w:firstLineChars="0"/>
              <w:jc w:val="center"/>
              <w:rPr>
                <w:sz w:val="21"/>
                <w:szCs w:val="21"/>
              </w:rPr>
            </w:pPr>
            <w:r>
              <w:rPr>
                <w:sz w:val="21"/>
                <w:szCs w:val="21"/>
              </w:rPr>
              <w:t>6</w:t>
            </w:r>
          </w:p>
        </w:tc>
      </w:tr>
      <w:tr w14:paraId="17054F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161DBDCD">
            <w:pPr>
              <w:adjustRightInd w:val="0"/>
              <w:spacing w:line="240" w:lineRule="auto"/>
              <w:ind w:firstLine="0" w:firstLineChars="0"/>
              <w:jc w:val="center"/>
              <w:rPr>
                <w:sz w:val="21"/>
                <w:szCs w:val="21"/>
              </w:rPr>
            </w:pPr>
            <w:r>
              <w:rPr>
                <w:sz w:val="21"/>
                <w:szCs w:val="21"/>
              </w:rPr>
              <w:t>6</w:t>
            </w:r>
          </w:p>
        </w:tc>
        <w:tc>
          <w:tcPr>
            <w:tcW w:w="2835" w:type="pct"/>
            <w:gridSpan w:val="2"/>
            <w:vAlign w:val="center"/>
          </w:tcPr>
          <w:p w14:paraId="7115A8CF">
            <w:pPr>
              <w:adjustRightInd w:val="0"/>
              <w:spacing w:line="240" w:lineRule="auto"/>
              <w:ind w:firstLine="0" w:firstLineChars="0"/>
              <w:jc w:val="center"/>
              <w:rPr>
                <w:sz w:val="21"/>
                <w:szCs w:val="21"/>
              </w:rPr>
            </w:pPr>
            <w:r>
              <w:rPr>
                <w:sz w:val="21"/>
                <w:szCs w:val="21"/>
              </w:rPr>
              <w:t>干式变压器额定容量</w:t>
            </w:r>
          </w:p>
        </w:tc>
        <w:tc>
          <w:tcPr>
            <w:tcW w:w="1787" w:type="pct"/>
            <w:vAlign w:val="center"/>
          </w:tcPr>
          <w:p w14:paraId="562F7268">
            <w:pPr>
              <w:adjustRightInd w:val="0"/>
              <w:spacing w:line="240" w:lineRule="auto"/>
              <w:ind w:firstLine="0" w:firstLineChars="0"/>
              <w:jc w:val="center"/>
              <w:rPr>
                <w:sz w:val="21"/>
                <w:szCs w:val="21"/>
              </w:rPr>
            </w:pPr>
            <w:r>
              <w:rPr>
                <w:sz w:val="21"/>
                <w:szCs w:val="21"/>
              </w:rPr>
              <w:t>400kVA</w:t>
            </w:r>
          </w:p>
        </w:tc>
      </w:tr>
      <w:tr w14:paraId="3F4A8B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3FB9A8EA">
            <w:pPr>
              <w:adjustRightInd w:val="0"/>
              <w:spacing w:line="240" w:lineRule="auto"/>
              <w:ind w:firstLine="0" w:firstLineChars="0"/>
              <w:jc w:val="center"/>
              <w:rPr>
                <w:sz w:val="21"/>
                <w:szCs w:val="21"/>
              </w:rPr>
            </w:pPr>
            <w:r>
              <w:rPr>
                <w:sz w:val="21"/>
                <w:szCs w:val="21"/>
              </w:rPr>
              <w:t>7</w:t>
            </w:r>
          </w:p>
        </w:tc>
        <w:tc>
          <w:tcPr>
            <w:tcW w:w="2835" w:type="pct"/>
            <w:gridSpan w:val="2"/>
            <w:vAlign w:val="center"/>
          </w:tcPr>
          <w:p w14:paraId="3D42DFAA">
            <w:pPr>
              <w:adjustRightInd w:val="0"/>
              <w:spacing w:line="240" w:lineRule="auto"/>
              <w:ind w:firstLine="0" w:firstLineChars="0"/>
              <w:jc w:val="center"/>
              <w:rPr>
                <w:sz w:val="21"/>
                <w:szCs w:val="21"/>
              </w:rPr>
            </w:pPr>
            <w:r>
              <w:rPr>
                <w:sz w:val="21"/>
                <w:szCs w:val="21"/>
              </w:rPr>
              <w:t>干式变压器空载电流</w:t>
            </w:r>
          </w:p>
        </w:tc>
        <w:tc>
          <w:tcPr>
            <w:tcW w:w="1787" w:type="pct"/>
            <w:vAlign w:val="center"/>
          </w:tcPr>
          <w:p w14:paraId="36276F73">
            <w:pPr>
              <w:adjustRightInd w:val="0"/>
              <w:spacing w:line="240" w:lineRule="auto"/>
              <w:ind w:firstLine="0" w:firstLineChars="0"/>
              <w:jc w:val="center"/>
              <w:rPr>
                <w:sz w:val="21"/>
                <w:szCs w:val="21"/>
              </w:rPr>
            </w:pPr>
            <w:r>
              <w:rPr>
                <w:sz w:val="21"/>
                <w:szCs w:val="21"/>
              </w:rPr>
              <w:t>/</w:t>
            </w:r>
          </w:p>
        </w:tc>
      </w:tr>
      <w:tr w14:paraId="26C255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restart"/>
            <w:vAlign w:val="center"/>
          </w:tcPr>
          <w:p w14:paraId="5C14F895">
            <w:pPr>
              <w:adjustRightInd w:val="0"/>
              <w:spacing w:line="240" w:lineRule="auto"/>
              <w:ind w:firstLine="0" w:firstLineChars="0"/>
              <w:jc w:val="center"/>
              <w:rPr>
                <w:sz w:val="21"/>
                <w:szCs w:val="21"/>
              </w:rPr>
            </w:pPr>
            <w:r>
              <w:rPr>
                <w:sz w:val="21"/>
                <w:szCs w:val="21"/>
              </w:rPr>
              <w:t>8</w:t>
            </w:r>
          </w:p>
        </w:tc>
        <w:tc>
          <w:tcPr>
            <w:tcW w:w="2835" w:type="pct"/>
            <w:gridSpan w:val="2"/>
            <w:vMerge w:val="restart"/>
            <w:vAlign w:val="center"/>
          </w:tcPr>
          <w:p w14:paraId="70997F16">
            <w:pPr>
              <w:adjustRightInd w:val="0"/>
              <w:spacing w:line="240" w:lineRule="auto"/>
              <w:ind w:firstLine="0" w:firstLineChars="0"/>
              <w:jc w:val="center"/>
              <w:rPr>
                <w:sz w:val="21"/>
                <w:szCs w:val="21"/>
              </w:rPr>
            </w:pPr>
            <w:r>
              <w:rPr>
                <w:sz w:val="21"/>
                <w:szCs w:val="21"/>
              </w:rPr>
              <w:t>干式变压器高压、低侧的额定电流</w:t>
            </w:r>
          </w:p>
        </w:tc>
        <w:tc>
          <w:tcPr>
            <w:tcW w:w="1787" w:type="pct"/>
            <w:vAlign w:val="center"/>
          </w:tcPr>
          <w:p w14:paraId="5C9DB035">
            <w:pPr>
              <w:adjustRightInd w:val="0"/>
              <w:spacing w:line="240" w:lineRule="auto"/>
              <w:ind w:firstLine="0" w:firstLineChars="0"/>
              <w:jc w:val="center"/>
              <w:rPr>
                <w:sz w:val="21"/>
                <w:szCs w:val="21"/>
              </w:rPr>
            </w:pPr>
            <w:r>
              <w:rPr>
                <w:sz w:val="21"/>
                <w:szCs w:val="21"/>
              </w:rPr>
              <w:t>高压侧：23.12A</w:t>
            </w:r>
          </w:p>
        </w:tc>
      </w:tr>
      <w:tr w14:paraId="383F5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vAlign w:val="center"/>
          </w:tcPr>
          <w:p w14:paraId="090AAF60">
            <w:pPr>
              <w:adjustRightInd w:val="0"/>
              <w:spacing w:line="240" w:lineRule="auto"/>
              <w:ind w:firstLine="0" w:firstLineChars="0"/>
              <w:jc w:val="center"/>
              <w:rPr>
                <w:sz w:val="21"/>
                <w:szCs w:val="21"/>
              </w:rPr>
            </w:pPr>
          </w:p>
        </w:tc>
        <w:tc>
          <w:tcPr>
            <w:tcW w:w="2835" w:type="pct"/>
            <w:gridSpan w:val="2"/>
            <w:vMerge w:val="continue"/>
            <w:vAlign w:val="center"/>
          </w:tcPr>
          <w:p w14:paraId="04C3BFE7">
            <w:pPr>
              <w:adjustRightInd w:val="0"/>
              <w:spacing w:line="240" w:lineRule="auto"/>
              <w:ind w:firstLine="0" w:firstLineChars="0"/>
              <w:jc w:val="center"/>
              <w:rPr>
                <w:sz w:val="21"/>
                <w:szCs w:val="21"/>
              </w:rPr>
            </w:pPr>
          </w:p>
        </w:tc>
        <w:tc>
          <w:tcPr>
            <w:tcW w:w="1787" w:type="pct"/>
            <w:vAlign w:val="center"/>
          </w:tcPr>
          <w:p w14:paraId="4C0CF803">
            <w:pPr>
              <w:adjustRightInd w:val="0"/>
              <w:spacing w:line="240" w:lineRule="auto"/>
              <w:ind w:firstLine="0" w:firstLineChars="0"/>
              <w:jc w:val="center"/>
              <w:rPr>
                <w:sz w:val="21"/>
                <w:szCs w:val="21"/>
              </w:rPr>
            </w:pPr>
            <w:r>
              <w:rPr>
                <w:sz w:val="21"/>
                <w:szCs w:val="21"/>
              </w:rPr>
              <w:t>低压侧：578A</w:t>
            </w:r>
          </w:p>
        </w:tc>
      </w:tr>
      <w:tr w14:paraId="626FB8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250DC109">
            <w:pPr>
              <w:adjustRightInd w:val="0"/>
              <w:spacing w:line="240" w:lineRule="auto"/>
              <w:ind w:firstLine="0" w:firstLineChars="0"/>
              <w:jc w:val="center"/>
              <w:rPr>
                <w:sz w:val="21"/>
                <w:szCs w:val="21"/>
              </w:rPr>
            </w:pPr>
            <w:r>
              <w:rPr>
                <w:sz w:val="21"/>
                <w:szCs w:val="21"/>
              </w:rPr>
              <w:t>9</w:t>
            </w:r>
          </w:p>
        </w:tc>
        <w:tc>
          <w:tcPr>
            <w:tcW w:w="2835" w:type="pct"/>
            <w:gridSpan w:val="2"/>
            <w:vAlign w:val="center"/>
          </w:tcPr>
          <w:p w14:paraId="1E0704A9">
            <w:pPr>
              <w:adjustRightInd w:val="0"/>
              <w:spacing w:line="240" w:lineRule="auto"/>
              <w:ind w:firstLine="0" w:firstLineChars="0"/>
              <w:jc w:val="center"/>
              <w:rPr>
                <w:sz w:val="21"/>
                <w:szCs w:val="21"/>
              </w:rPr>
            </w:pPr>
            <w:r>
              <w:rPr>
                <w:sz w:val="21"/>
                <w:szCs w:val="21"/>
              </w:rPr>
              <w:t>干式变压器高压侧的短路关合电流</w:t>
            </w:r>
          </w:p>
        </w:tc>
        <w:tc>
          <w:tcPr>
            <w:tcW w:w="1787" w:type="pct"/>
            <w:vAlign w:val="center"/>
          </w:tcPr>
          <w:p w14:paraId="52A12A0F">
            <w:pPr>
              <w:adjustRightInd w:val="0"/>
              <w:spacing w:line="240" w:lineRule="auto"/>
              <w:ind w:firstLine="0" w:firstLineChars="0"/>
              <w:jc w:val="center"/>
              <w:rPr>
                <w:sz w:val="21"/>
                <w:szCs w:val="21"/>
              </w:rPr>
            </w:pPr>
            <w:r>
              <w:rPr>
                <w:sz w:val="21"/>
                <w:szCs w:val="21"/>
              </w:rPr>
              <w:t>31.5kA</w:t>
            </w:r>
          </w:p>
        </w:tc>
      </w:tr>
      <w:tr w14:paraId="15C539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restart"/>
            <w:vAlign w:val="center"/>
          </w:tcPr>
          <w:p w14:paraId="3532A8F7">
            <w:pPr>
              <w:adjustRightInd w:val="0"/>
              <w:spacing w:line="240" w:lineRule="auto"/>
              <w:ind w:firstLine="0" w:firstLineChars="0"/>
              <w:jc w:val="center"/>
              <w:rPr>
                <w:sz w:val="21"/>
                <w:szCs w:val="21"/>
              </w:rPr>
            </w:pPr>
            <w:r>
              <w:rPr>
                <w:sz w:val="21"/>
                <w:szCs w:val="21"/>
              </w:rPr>
              <w:t>10</w:t>
            </w:r>
          </w:p>
        </w:tc>
        <w:tc>
          <w:tcPr>
            <w:tcW w:w="746" w:type="pct"/>
            <w:vMerge w:val="restart"/>
            <w:vAlign w:val="center"/>
          </w:tcPr>
          <w:p w14:paraId="2DC5B4CD">
            <w:pPr>
              <w:adjustRightInd w:val="0"/>
              <w:spacing w:line="240" w:lineRule="auto"/>
              <w:ind w:firstLine="0" w:firstLineChars="0"/>
              <w:jc w:val="center"/>
              <w:rPr>
                <w:sz w:val="21"/>
                <w:szCs w:val="21"/>
              </w:rPr>
            </w:pPr>
            <w:r>
              <w:rPr>
                <w:sz w:val="21"/>
                <w:szCs w:val="21"/>
              </w:rPr>
              <w:t>干式变压器损耗</w:t>
            </w:r>
          </w:p>
        </w:tc>
        <w:tc>
          <w:tcPr>
            <w:tcW w:w="2089" w:type="pct"/>
            <w:vAlign w:val="center"/>
          </w:tcPr>
          <w:p w14:paraId="1C983E86">
            <w:pPr>
              <w:adjustRightInd w:val="0"/>
              <w:spacing w:line="240" w:lineRule="auto"/>
              <w:ind w:firstLine="0" w:firstLineChars="0"/>
              <w:jc w:val="center"/>
              <w:rPr>
                <w:sz w:val="21"/>
                <w:szCs w:val="21"/>
              </w:rPr>
            </w:pPr>
            <w:r>
              <w:rPr>
                <w:sz w:val="21"/>
                <w:szCs w:val="21"/>
              </w:rPr>
              <w:t>空载损耗</w:t>
            </w:r>
          </w:p>
        </w:tc>
        <w:tc>
          <w:tcPr>
            <w:tcW w:w="1787" w:type="pct"/>
            <w:vAlign w:val="center"/>
          </w:tcPr>
          <w:p w14:paraId="4C20F100">
            <w:pPr>
              <w:adjustRightInd w:val="0"/>
              <w:spacing w:line="240" w:lineRule="auto"/>
              <w:ind w:firstLine="0" w:firstLineChars="0"/>
              <w:jc w:val="center"/>
              <w:rPr>
                <w:sz w:val="21"/>
                <w:szCs w:val="21"/>
              </w:rPr>
            </w:pPr>
            <w:r>
              <w:rPr>
                <w:sz w:val="21"/>
                <w:szCs w:val="21"/>
              </w:rPr>
              <w:t>W</w:t>
            </w:r>
          </w:p>
        </w:tc>
      </w:tr>
      <w:tr w14:paraId="669D2F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vAlign w:val="center"/>
          </w:tcPr>
          <w:p w14:paraId="3F90C502">
            <w:pPr>
              <w:adjustRightInd w:val="0"/>
              <w:spacing w:line="240" w:lineRule="auto"/>
              <w:ind w:firstLine="0" w:firstLineChars="0"/>
              <w:jc w:val="center"/>
              <w:rPr>
                <w:sz w:val="21"/>
                <w:szCs w:val="21"/>
              </w:rPr>
            </w:pPr>
          </w:p>
        </w:tc>
        <w:tc>
          <w:tcPr>
            <w:tcW w:w="746" w:type="pct"/>
            <w:vMerge w:val="continue"/>
            <w:vAlign w:val="center"/>
          </w:tcPr>
          <w:p w14:paraId="5343203C">
            <w:pPr>
              <w:adjustRightInd w:val="0"/>
              <w:spacing w:line="240" w:lineRule="auto"/>
              <w:ind w:firstLine="0" w:firstLineChars="0"/>
              <w:jc w:val="center"/>
              <w:rPr>
                <w:sz w:val="21"/>
                <w:szCs w:val="21"/>
              </w:rPr>
            </w:pPr>
          </w:p>
        </w:tc>
        <w:tc>
          <w:tcPr>
            <w:tcW w:w="2089" w:type="pct"/>
            <w:vAlign w:val="center"/>
          </w:tcPr>
          <w:p w14:paraId="1A6C341B">
            <w:pPr>
              <w:adjustRightInd w:val="0"/>
              <w:spacing w:line="240" w:lineRule="auto"/>
              <w:ind w:firstLine="0" w:firstLineChars="0"/>
              <w:jc w:val="center"/>
              <w:rPr>
                <w:sz w:val="21"/>
                <w:szCs w:val="21"/>
              </w:rPr>
            </w:pPr>
            <w:r>
              <w:rPr>
                <w:sz w:val="21"/>
                <w:szCs w:val="21"/>
              </w:rPr>
              <w:t>负载损耗</w:t>
            </w:r>
          </w:p>
        </w:tc>
        <w:tc>
          <w:tcPr>
            <w:tcW w:w="1787" w:type="pct"/>
            <w:vAlign w:val="center"/>
          </w:tcPr>
          <w:p w14:paraId="7093945A">
            <w:pPr>
              <w:adjustRightInd w:val="0"/>
              <w:spacing w:line="240" w:lineRule="auto"/>
              <w:ind w:firstLine="0" w:firstLineChars="0"/>
              <w:jc w:val="center"/>
              <w:rPr>
                <w:sz w:val="21"/>
                <w:szCs w:val="21"/>
              </w:rPr>
            </w:pPr>
            <w:r>
              <w:rPr>
                <w:sz w:val="21"/>
                <w:szCs w:val="21"/>
              </w:rPr>
              <w:t>W</w:t>
            </w:r>
          </w:p>
        </w:tc>
      </w:tr>
      <w:tr w14:paraId="027346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restart"/>
            <w:vAlign w:val="center"/>
          </w:tcPr>
          <w:p w14:paraId="6018B929">
            <w:pPr>
              <w:adjustRightInd w:val="0"/>
              <w:spacing w:line="240" w:lineRule="auto"/>
              <w:ind w:firstLine="0" w:firstLineChars="0"/>
              <w:jc w:val="center"/>
              <w:rPr>
                <w:sz w:val="21"/>
                <w:szCs w:val="21"/>
              </w:rPr>
            </w:pPr>
            <w:r>
              <w:rPr>
                <w:sz w:val="21"/>
                <w:szCs w:val="21"/>
              </w:rPr>
              <w:t>11</w:t>
            </w:r>
          </w:p>
        </w:tc>
        <w:tc>
          <w:tcPr>
            <w:tcW w:w="746" w:type="pct"/>
            <w:vMerge w:val="restart"/>
            <w:vAlign w:val="center"/>
          </w:tcPr>
          <w:p w14:paraId="1E64742F">
            <w:pPr>
              <w:adjustRightInd w:val="0"/>
              <w:spacing w:line="240" w:lineRule="auto"/>
              <w:ind w:firstLine="0" w:firstLineChars="0"/>
              <w:jc w:val="center"/>
              <w:rPr>
                <w:sz w:val="21"/>
                <w:szCs w:val="21"/>
              </w:rPr>
            </w:pPr>
            <w:r>
              <w:rPr>
                <w:sz w:val="21"/>
                <w:szCs w:val="21"/>
              </w:rPr>
              <w:t>干式变压器绝缘水平</w:t>
            </w:r>
          </w:p>
        </w:tc>
        <w:tc>
          <w:tcPr>
            <w:tcW w:w="2089" w:type="pct"/>
            <w:vAlign w:val="center"/>
          </w:tcPr>
          <w:p w14:paraId="11AF11C6">
            <w:pPr>
              <w:adjustRightInd w:val="0"/>
              <w:spacing w:line="240" w:lineRule="auto"/>
              <w:ind w:firstLine="0" w:firstLineChars="0"/>
              <w:jc w:val="center"/>
              <w:rPr>
                <w:sz w:val="21"/>
                <w:szCs w:val="21"/>
              </w:rPr>
            </w:pPr>
            <w:r>
              <w:rPr>
                <w:sz w:val="21"/>
                <w:szCs w:val="21"/>
              </w:rPr>
              <w:t>雷 电 冲 击 耐 受 电 压（1.2/50μS）</w:t>
            </w:r>
          </w:p>
        </w:tc>
        <w:tc>
          <w:tcPr>
            <w:tcW w:w="1787" w:type="pct"/>
            <w:vAlign w:val="center"/>
          </w:tcPr>
          <w:p w14:paraId="31802B9B">
            <w:pPr>
              <w:adjustRightInd w:val="0"/>
              <w:spacing w:line="240" w:lineRule="auto"/>
              <w:ind w:firstLine="0" w:firstLineChars="0"/>
              <w:jc w:val="center"/>
              <w:rPr>
                <w:sz w:val="21"/>
                <w:szCs w:val="21"/>
              </w:rPr>
            </w:pPr>
          </w:p>
          <w:p w14:paraId="4D0E0BCB">
            <w:pPr>
              <w:adjustRightInd w:val="0"/>
              <w:spacing w:line="240" w:lineRule="auto"/>
              <w:ind w:firstLine="0" w:firstLineChars="0"/>
              <w:jc w:val="center"/>
              <w:rPr>
                <w:sz w:val="21"/>
                <w:szCs w:val="21"/>
              </w:rPr>
            </w:pPr>
            <w:r>
              <w:rPr>
                <w:sz w:val="21"/>
                <w:szCs w:val="21"/>
              </w:rPr>
              <w:t>75kV</w:t>
            </w:r>
          </w:p>
          <w:p w14:paraId="0BF9BD04">
            <w:pPr>
              <w:adjustRightInd w:val="0"/>
              <w:spacing w:line="240" w:lineRule="auto"/>
              <w:ind w:firstLine="0" w:firstLineChars="0"/>
              <w:jc w:val="center"/>
              <w:rPr>
                <w:sz w:val="21"/>
                <w:szCs w:val="21"/>
              </w:rPr>
            </w:pPr>
          </w:p>
        </w:tc>
      </w:tr>
      <w:tr w14:paraId="28B401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vAlign w:val="center"/>
          </w:tcPr>
          <w:p w14:paraId="52C66C05">
            <w:pPr>
              <w:adjustRightInd w:val="0"/>
              <w:spacing w:line="240" w:lineRule="auto"/>
              <w:ind w:firstLine="0" w:firstLineChars="0"/>
              <w:jc w:val="center"/>
              <w:rPr>
                <w:sz w:val="21"/>
                <w:szCs w:val="21"/>
              </w:rPr>
            </w:pPr>
          </w:p>
        </w:tc>
        <w:tc>
          <w:tcPr>
            <w:tcW w:w="746" w:type="pct"/>
            <w:vMerge w:val="continue"/>
            <w:vAlign w:val="center"/>
          </w:tcPr>
          <w:p w14:paraId="013B8331">
            <w:pPr>
              <w:adjustRightInd w:val="0"/>
              <w:spacing w:line="240" w:lineRule="auto"/>
              <w:ind w:firstLine="0" w:firstLineChars="0"/>
              <w:jc w:val="center"/>
              <w:rPr>
                <w:sz w:val="21"/>
                <w:szCs w:val="21"/>
              </w:rPr>
            </w:pPr>
          </w:p>
        </w:tc>
        <w:tc>
          <w:tcPr>
            <w:tcW w:w="2089" w:type="pct"/>
            <w:vAlign w:val="center"/>
          </w:tcPr>
          <w:p w14:paraId="77246010">
            <w:pPr>
              <w:adjustRightInd w:val="0"/>
              <w:spacing w:line="240" w:lineRule="auto"/>
              <w:ind w:firstLine="0" w:firstLineChars="0"/>
              <w:jc w:val="center"/>
              <w:rPr>
                <w:sz w:val="21"/>
                <w:szCs w:val="21"/>
              </w:rPr>
            </w:pPr>
            <w:r>
              <w:rPr>
                <w:sz w:val="21"/>
                <w:szCs w:val="21"/>
              </w:rPr>
              <w:t>一分钟工频耐受电压</w:t>
            </w:r>
          </w:p>
        </w:tc>
        <w:tc>
          <w:tcPr>
            <w:tcW w:w="1787" w:type="pct"/>
            <w:vAlign w:val="center"/>
          </w:tcPr>
          <w:p w14:paraId="0DCF23BC">
            <w:pPr>
              <w:adjustRightInd w:val="0"/>
              <w:spacing w:line="240" w:lineRule="auto"/>
              <w:ind w:firstLine="0" w:firstLineChars="0"/>
              <w:jc w:val="center"/>
              <w:rPr>
                <w:sz w:val="21"/>
                <w:szCs w:val="21"/>
              </w:rPr>
            </w:pPr>
            <w:r>
              <w:rPr>
                <w:sz w:val="21"/>
                <w:szCs w:val="21"/>
              </w:rPr>
              <w:t>35kV</w:t>
            </w:r>
          </w:p>
        </w:tc>
      </w:tr>
      <w:tr w14:paraId="411171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1177170D">
            <w:pPr>
              <w:adjustRightInd w:val="0"/>
              <w:spacing w:line="240" w:lineRule="auto"/>
              <w:ind w:firstLine="0" w:firstLineChars="0"/>
              <w:jc w:val="center"/>
              <w:rPr>
                <w:sz w:val="21"/>
                <w:szCs w:val="21"/>
              </w:rPr>
            </w:pPr>
            <w:r>
              <w:rPr>
                <w:sz w:val="21"/>
                <w:szCs w:val="21"/>
              </w:rPr>
              <w:t>12</w:t>
            </w:r>
          </w:p>
        </w:tc>
        <w:tc>
          <w:tcPr>
            <w:tcW w:w="2835" w:type="pct"/>
            <w:gridSpan w:val="2"/>
            <w:vAlign w:val="center"/>
          </w:tcPr>
          <w:p w14:paraId="78CB2118">
            <w:pPr>
              <w:adjustRightInd w:val="0"/>
              <w:spacing w:line="240" w:lineRule="auto"/>
              <w:ind w:firstLine="0" w:firstLineChars="0"/>
              <w:jc w:val="center"/>
              <w:rPr>
                <w:sz w:val="21"/>
                <w:szCs w:val="21"/>
              </w:rPr>
            </w:pPr>
            <w:r>
              <w:rPr>
                <w:sz w:val="21"/>
                <w:szCs w:val="21"/>
              </w:rPr>
              <w:t>干式变压器调压方式、范围</w:t>
            </w:r>
          </w:p>
        </w:tc>
        <w:tc>
          <w:tcPr>
            <w:tcW w:w="1787" w:type="pct"/>
            <w:vAlign w:val="center"/>
          </w:tcPr>
          <w:p w14:paraId="0380356B">
            <w:pPr>
              <w:adjustRightInd w:val="0"/>
              <w:spacing w:line="240" w:lineRule="auto"/>
              <w:ind w:firstLine="0" w:firstLineChars="0"/>
              <w:jc w:val="center"/>
              <w:rPr>
                <w:sz w:val="21"/>
                <w:szCs w:val="21"/>
              </w:rPr>
            </w:pPr>
            <w:r>
              <w:rPr>
                <w:sz w:val="21"/>
                <w:szCs w:val="21"/>
              </w:rPr>
              <w:t>无励磁，10±2×2.5%</w:t>
            </w:r>
          </w:p>
        </w:tc>
      </w:tr>
      <w:tr w14:paraId="5B010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4CDE7A6C">
            <w:pPr>
              <w:adjustRightInd w:val="0"/>
              <w:spacing w:line="240" w:lineRule="auto"/>
              <w:ind w:firstLine="0" w:firstLineChars="0"/>
              <w:jc w:val="center"/>
              <w:rPr>
                <w:sz w:val="21"/>
                <w:szCs w:val="21"/>
              </w:rPr>
            </w:pPr>
            <w:r>
              <w:rPr>
                <w:sz w:val="21"/>
                <w:szCs w:val="21"/>
              </w:rPr>
              <w:t>13</w:t>
            </w:r>
          </w:p>
        </w:tc>
        <w:tc>
          <w:tcPr>
            <w:tcW w:w="2835" w:type="pct"/>
            <w:gridSpan w:val="2"/>
            <w:vAlign w:val="center"/>
          </w:tcPr>
          <w:p w14:paraId="571AC85F">
            <w:pPr>
              <w:adjustRightInd w:val="0"/>
              <w:spacing w:line="240" w:lineRule="auto"/>
              <w:ind w:firstLine="0" w:firstLineChars="0"/>
              <w:jc w:val="center"/>
              <w:rPr>
                <w:sz w:val="21"/>
                <w:szCs w:val="21"/>
              </w:rPr>
            </w:pPr>
            <w:r>
              <w:rPr>
                <w:sz w:val="21"/>
                <w:szCs w:val="21"/>
              </w:rPr>
              <w:t>干式变压器的外形尺寸</w:t>
            </w:r>
          </w:p>
          <w:p w14:paraId="2EC4EFE2">
            <w:pPr>
              <w:adjustRightInd w:val="0"/>
              <w:spacing w:line="240" w:lineRule="auto"/>
              <w:ind w:firstLine="0" w:firstLineChars="0"/>
              <w:jc w:val="center"/>
              <w:rPr>
                <w:sz w:val="21"/>
                <w:szCs w:val="21"/>
              </w:rPr>
            </w:pPr>
            <w:r>
              <w:rPr>
                <w:sz w:val="21"/>
                <w:szCs w:val="21"/>
              </w:rPr>
              <w:t>（长×宽×高）m×m×m</w:t>
            </w:r>
          </w:p>
        </w:tc>
        <w:tc>
          <w:tcPr>
            <w:tcW w:w="1787" w:type="pct"/>
            <w:vAlign w:val="center"/>
          </w:tcPr>
          <w:p w14:paraId="2143E06E">
            <w:pPr>
              <w:adjustRightInd w:val="0"/>
              <w:spacing w:line="240" w:lineRule="auto"/>
              <w:ind w:firstLine="0" w:firstLineChars="0"/>
              <w:jc w:val="center"/>
              <w:rPr>
                <w:sz w:val="21"/>
                <w:szCs w:val="21"/>
              </w:rPr>
            </w:pPr>
            <w:r>
              <w:rPr>
                <w:sz w:val="21"/>
                <w:szCs w:val="21"/>
              </w:rPr>
              <w:t>/</w:t>
            </w:r>
          </w:p>
        </w:tc>
      </w:tr>
      <w:tr w14:paraId="16A4DA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6E9401D8">
            <w:pPr>
              <w:adjustRightInd w:val="0"/>
              <w:spacing w:line="240" w:lineRule="auto"/>
              <w:ind w:firstLine="0" w:firstLineChars="0"/>
              <w:jc w:val="center"/>
              <w:rPr>
                <w:sz w:val="21"/>
                <w:szCs w:val="21"/>
              </w:rPr>
            </w:pPr>
            <w:r>
              <w:rPr>
                <w:sz w:val="21"/>
                <w:szCs w:val="21"/>
              </w:rPr>
              <w:t>14</w:t>
            </w:r>
          </w:p>
        </w:tc>
        <w:tc>
          <w:tcPr>
            <w:tcW w:w="2835" w:type="pct"/>
            <w:gridSpan w:val="2"/>
            <w:vAlign w:val="center"/>
          </w:tcPr>
          <w:p w14:paraId="63AD5E56">
            <w:pPr>
              <w:adjustRightInd w:val="0"/>
              <w:spacing w:line="240" w:lineRule="auto"/>
              <w:ind w:firstLine="0" w:firstLineChars="0"/>
              <w:jc w:val="center"/>
              <w:rPr>
                <w:sz w:val="21"/>
                <w:szCs w:val="21"/>
              </w:rPr>
            </w:pPr>
            <w:r>
              <w:rPr>
                <w:sz w:val="21"/>
                <w:szCs w:val="21"/>
              </w:rPr>
              <w:t>箱式变电站安装重量</w:t>
            </w:r>
          </w:p>
        </w:tc>
        <w:tc>
          <w:tcPr>
            <w:tcW w:w="1787" w:type="pct"/>
            <w:vAlign w:val="center"/>
          </w:tcPr>
          <w:p w14:paraId="58DF942A">
            <w:pPr>
              <w:adjustRightInd w:val="0"/>
              <w:spacing w:line="240" w:lineRule="auto"/>
              <w:ind w:firstLine="0" w:firstLineChars="0"/>
              <w:jc w:val="center"/>
              <w:rPr>
                <w:sz w:val="21"/>
                <w:szCs w:val="21"/>
              </w:rPr>
            </w:pPr>
            <w:r>
              <w:rPr>
                <w:sz w:val="21"/>
                <w:szCs w:val="21"/>
              </w:rPr>
              <w:t>/</w:t>
            </w:r>
          </w:p>
        </w:tc>
      </w:tr>
      <w:tr w14:paraId="7B8EEF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restart"/>
            <w:vAlign w:val="center"/>
          </w:tcPr>
          <w:p w14:paraId="6D8D93FA">
            <w:pPr>
              <w:adjustRightInd w:val="0"/>
              <w:spacing w:line="240" w:lineRule="auto"/>
              <w:ind w:firstLine="0" w:firstLineChars="0"/>
              <w:jc w:val="center"/>
              <w:rPr>
                <w:sz w:val="21"/>
                <w:szCs w:val="21"/>
              </w:rPr>
            </w:pPr>
            <w:r>
              <w:rPr>
                <w:sz w:val="21"/>
                <w:szCs w:val="21"/>
              </w:rPr>
              <w:t>15</w:t>
            </w:r>
          </w:p>
        </w:tc>
        <w:tc>
          <w:tcPr>
            <w:tcW w:w="746" w:type="pct"/>
            <w:vMerge w:val="restart"/>
            <w:vAlign w:val="center"/>
          </w:tcPr>
          <w:p w14:paraId="7676697E">
            <w:pPr>
              <w:adjustRightInd w:val="0"/>
              <w:spacing w:line="240" w:lineRule="auto"/>
              <w:ind w:firstLine="0" w:firstLineChars="0"/>
              <w:jc w:val="center"/>
              <w:rPr>
                <w:sz w:val="21"/>
                <w:szCs w:val="21"/>
              </w:rPr>
            </w:pPr>
            <w:r>
              <w:rPr>
                <w:sz w:val="21"/>
                <w:szCs w:val="21"/>
              </w:rPr>
              <w:t>箱式变电站运输</w:t>
            </w:r>
          </w:p>
        </w:tc>
        <w:tc>
          <w:tcPr>
            <w:tcW w:w="2089" w:type="pct"/>
            <w:vAlign w:val="center"/>
          </w:tcPr>
          <w:p w14:paraId="7BB764BB">
            <w:pPr>
              <w:adjustRightInd w:val="0"/>
              <w:spacing w:line="240" w:lineRule="auto"/>
              <w:ind w:firstLine="0" w:firstLineChars="0"/>
              <w:jc w:val="center"/>
              <w:rPr>
                <w:sz w:val="21"/>
                <w:szCs w:val="21"/>
              </w:rPr>
            </w:pPr>
            <w:r>
              <w:rPr>
                <w:sz w:val="21"/>
                <w:szCs w:val="21"/>
              </w:rPr>
              <w:t>运输尺寸（长×宽×高）m×m×m</w:t>
            </w:r>
          </w:p>
        </w:tc>
        <w:tc>
          <w:tcPr>
            <w:tcW w:w="1787" w:type="pct"/>
            <w:vAlign w:val="center"/>
          </w:tcPr>
          <w:p w14:paraId="0A497014">
            <w:pPr>
              <w:adjustRightInd w:val="0"/>
              <w:spacing w:line="240" w:lineRule="auto"/>
              <w:ind w:firstLine="0" w:firstLineChars="0"/>
              <w:jc w:val="center"/>
              <w:rPr>
                <w:sz w:val="21"/>
                <w:szCs w:val="21"/>
              </w:rPr>
            </w:pPr>
            <w:r>
              <w:rPr>
                <w:sz w:val="21"/>
                <w:szCs w:val="21"/>
              </w:rPr>
              <w:t>/</w:t>
            </w:r>
          </w:p>
        </w:tc>
      </w:tr>
      <w:tr w14:paraId="010075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vAlign w:val="center"/>
          </w:tcPr>
          <w:p w14:paraId="04E42845">
            <w:pPr>
              <w:adjustRightInd w:val="0"/>
              <w:spacing w:line="240" w:lineRule="auto"/>
              <w:ind w:firstLine="0" w:firstLineChars="0"/>
              <w:jc w:val="center"/>
              <w:rPr>
                <w:sz w:val="21"/>
                <w:szCs w:val="21"/>
              </w:rPr>
            </w:pPr>
          </w:p>
        </w:tc>
        <w:tc>
          <w:tcPr>
            <w:tcW w:w="746" w:type="pct"/>
            <w:vMerge w:val="continue"/>
            <w:vAlign w:val="center"/>
          </w:tcPr>
          <w:p w14:paraId="754339CD">
            <w:pPr>
              <w:adjustRightInd w:val="0"/>
              <w:spacing w:line="240" w:lineRule="auto"/>
              <w:ind w:firstLine="0" w:firstLineChars="0"/>
              <w:jc w:val="center"/>
              <w:rPr>
                <w:sz w:val="21"/>
                <w:szCs w:val="21"/>
              </w:rPr>
            </w:pPr>
          </w:p>
        </w:tc>
        <w:tc>
          <w:tcPr>
            <w:tcW w:w="2089" w:type="pct"/>
            <w:vAlign w:val="center"/>
          </w:tcPr>
          <w:p w14:paraId="2F515472">
            <w:pPr>
              <w:adjustRightInd w:val="0"/>
              <w:spacing w:line="240" w:lineRule="auto"/>
              <w:ind w:firstLine="0" w:firstLineChars="0"/>
              <w:jc w:val="center"/>
              <w:rPr>
                <w:sz w:val="21"/>
                <w:szCs w:val="21"/>
              </w:rPr>
            </w:pPr>
            <w:r>
              <w:rPr>
                <w:sz w:val="21"/>
                <w:szCs w:val="21"/>
              </w:rPr>
              <w:t>重心高度(m)</w:t>
            </w:r>
          </w:p>
        </w:tc>
        <w:tc>
          <w:tcPr>
            <w:tcW w:w="1787" w:type="pct"/>
            <w:vAlign w:val="center"/>
          </w:tcPr>
          <w:p w14:paraId="6AD95393">
            <w:pPr>
              <w:adjustRightInd w:val="0"/>
              <w:spacing w:line="240" w:lineRule="auto"/>
              <w:ind w:firstLine="0" w:firstLineChars="0"/>
              <w:jc w:val="center"/>
              <w:rPr>
                <w:sz w:val="21"/>
                <w:szCs w:val="21"/>
              </w:rPr>
            </w:pPr>
            <w:r>
              <w:rPr>
                <w:sz w:val="21"/>
                <w:szCs w:val="21"/>
              </w:rPr>
              <w:t>/</w:t>
            </w:r>
          </w:p>
        </w:tc>
      </w:tr>
      <w:tr w14:paraId="7A5AD0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vAlign w:val="center"/>
          </w:tcPr>
          <w:p w14:paraId="6E2FDB8C">
            <w:pPr>
              <w:adjustRightInd w:val="0"/>
              <w:spacing w:line="240" w:lineRule="auto"/>
              <w:ind w:firstLine="0" w:firstLineChars="0"/>
              <w:jc w:val="center"/>
              <w:rPr>
                <w:sz w:val="21"/>
                <w:szCs w:val="21"/>
              </w:rPr>
            </w:pPr>
          </w:p>
        </w:tc>
        <w:tc>
          <w:tcPr>
            <w:tcW w:w="746" w:type="pct"/>
            <w:vMerge w:val="continue"/>
            <w:vAlign w:val="center"/>
          </w:tcPr>
          <w:p w14:paraId="08A39C33">
            <w:pPr>
              <w:adjustRightInd w:val="0"/>
              <w:spacing w:line="240" w:lineRule="auto"/>
              <w:ind w:firstLine="0" w:firstLineChars="0"/>
              <w:jc w:val="center"/>
              <w:rPr>
                <w:sz w:val="21"/>
                <w:szCs w:val="21"/>
              </w:rPr>
            </w:pPr>
          </w:p>
        </w:tc>
        <w:tc>
          <w:tcPr>
            <w:tcW w:w="2089" w:type="pct"/>
            <w:vAlign w:val="center"/>
          </w:tcPr>
          <w:p w14:paraId="77D4F761">
            <w:pPr>
              <w:adjustRightInd w:val="0"/>
              <w:spacing w:line="240" w:lineRule="auto"/>
              <w:ind w:firstLine="0" w:firstLineChars="0"/>
              <w:jc w:val="center"/>
              <w:rPr>
                <w:sz w:val="21"/>
                <w:szCs w:val="21"/>
              </w:rPr>
            </w:pPr>
            <w:r>
              <w:rPr>
                <w:sz w:val="21"/>
                <w:szCs w:val="21"/>
              </w:rPr>
              <w:t>运输重量（t）</w:t>
            </w:r>
          </w:p>
        </w:tc>
        <w:tc>
          <w:tcPr>
            <w:tcW w:w="1787" w:type="pct"/>
            <w:vAlign w:val="center"/>
          </w:tcPr>
          <w:p w14:paraId="67BAE076">
            <w:pPr>
              <w:adjustRightInd w:val="0"/>
              <w:spacing w:line="240" w:lineRule="auto"/>
              <w:ind w:firstLine="0" w:firstLineChars="0"/>
              <w:jc w:val="center"/>
              <w:rPr>
                <w:sz w:val="21"/>
                <w:szCs w:val="21"/>
              </w:rPr>
            </w:pPr>
            <w:r>
              <w:rPr>
                <w:sz w:val="21"/>
                <w:szCs w:val="21"/>
              </w:rPr>
              <w:t>/</w:t>
            </w:r>
          </w:p>
        </w:tc>
      </w:tr>
      <w:tr w14:paraId="346619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vAlign w:val="center"/>
          </w:tcPr>
          <w:p w14:paraId="5CAB7EBB">
            <w:pPr>
              <w:adjustRightInd w:val="0"/>
              <w:spacing w:line="240" w:lineRule="auto"/>
              <w:ind w:firstLine="0" w:firstLineChars="0"/>
              <w:jc w:val="center"/>
              <w:rPr>
                <w:sz w:val="21"/>
                <w:szCs w:val="21"/>
              </w:rPr>
            </w:pPr>
          </w:p>
        </w:tc>
        <w:tc>
          <w:tcPr>
            <w:tcW w:w="746" w:type="pct"/>
            <w:vMerge w:val="continue"/>
            <w:vAlign w:val="center"/>
          </w:tcPr>
          <w:p w14:paraId="601BE3CC">
            <w:pPr>
              <w:adjustRightInd w:val="0"/>
              <w:spacing w:line="240" w:lineRule="auto"/>
              <w:ind w:firstLine="0" w:firstLineChars="0"/>
              <w:jc w:val="center"/>
              <w:rPr>
                <w:sz w:val="21"/>
                <w:szCs w:val="21"/>
              </w:rPr>
            </w:pPr>
          </w:p>
        </w:tc>
        <w:tc>
          <w:tcPr>
            <w:tcW w:w="2089" w:type="pct"/>
            <w:vAlign w:val="center"/>
          </w:tcPr>
          <w:p w14:paraId="7F6B9CA1">
            <w:pPr>
              <w:adjustRightInd w:val="0"/>
              <w:spacing w:line="240" w:lineRule="auto"/>
              <w:ind w:firstLine="0" w:firstLineChars="0"/>
              <w:jc w:val="center"/>
              <w:rPr>
                <w:sz w:val="21"/>
                <w:szCs w:val="21"/>
              </w:rPr>
            </w:pPr>
            <w:r>
              <w:rPr>
                <w:sz w:val="21"/>
                <w:szCs w:val="21"/>
              </w:rPr>
              <w:t>运输时允许最大坡度</w:t>
            </w:r>
          </w:p>
        </w:tc>
        <w:tc>
          <w:tcPr>
            <w:tcW w:w="1787" w:type="pct"/>
            <w:vAlign w:val="center"/>
          </w:tcPr>
          <w:p w14:paraId="6872C5F3">
            <w:pPr>
              <w:adjustRightInd w:val="0"/>
              <w:spacing w:line="240" w:lineRule="auto"/>
              <w:ind w:firstLine="0" w:firstLineChars="0"/>
              <w:jc w:val="center"/>
              <w:rPr>
                <w:sz w:val="21"/>
                <w:szCs w:val="21"/>
              </w:rPr>
            </w:pPr>
            <w:r>
              <w:rPr>
                <w:sz w:val="21"/>
                <w:szCs w:val="21"/>
              </w:rPr>
              <w:t>/</w:t>
            </w:r>
          </w:p>
        </w:tc>
      </w:tr>
      <w:tr w14:paraId="58EE07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restart"/>
            <w:shd w:val="clear" w:color="auto" w:fill="auto"/>
            <w:vAlign w:val="center"/>
          </w:tcPr>
          <w:p w14:paraId="2DE3462F">
            <w:pPr>
              <w:adjustRightInd w:val="0"/>
              <w:spacing w:line="240" w:lineRule="auto"/>
              <w:ind w:firstLine="0" w:firstLineChars="0"/>
              <w:jc w:val="center"/>
              <w:rPr>
                <w:sz w:val="21"/>
                <w:szCs w:val="21"/>
              </w:rPr>
            </w:pPr>
            <w:r>
              <w:rPr>
                <w:sz w:val="21"/>
                <w:szCs w:val="21"/>
              </w:rPr>
              <w:t>16</w:t>
            </w:r>
          </w:p>
        </w:tc>
        <w:tc>
          <w:tcPr>
            <w:tcW w:w="746" w:type="pct"/>
            <w:vMerge w:val="restart"/>
            <w:shd w:val="clear" w:color="auto" w:fill="auto"/>
            <w:vAlign w:val="center"/>
          </w:tcPr>
          <w:p w14:paraId="7BD7D300">
            <w:pPr>
              <w:adjustRightInd w:val="0"/>
              <w:spacing w:line="240" w:lineRule="auto"/>
              <w:ind w:firstLine="0" w:firstLineChars="0"/>
              <w:jc w:val="center"/>
              <w:rPr>
                <w:sz w:val="21"/>
                <w:szCs w:val="21"/>
              </w:rPr>
            </w:pPr>
            <w:r>
              <w:rPr>
                <w:sz w:val="21"/>
                <w:szCs w:val="21"/>
              </w:rPr>
              <w:t>低压断路器</w:t>
            </w:r>
          </w:p>
        </w:tc>
        <w:tc>
          <w:tcPr>
            <w:tcW w:w="2089" w:type="pct"/>
            <w:shd w:val="clear" w:color="auto" w:fill="auto"/>
            <w:vAlign w:val="center"/>
          </w:tcPr>
          <w:p w14:paraId="7BE3B4D1">
            <w:pPr>
              <w:adjustRightInd w:val="0"/>
              <w:spacing w:line="240" w:lineRule="auto"/>
              <w:ind w:firstLine="0" w:firstLineChars="0"/>
              <w:jc w:val="center"/>
              <w:rPr>
                <w:sz w:val="21"/>
                <w:szCs w:val="21"/>
              </w:rPr>
            </w:pPr>
            <w:r>
              <w:rPr>
                <w:sz w:val="21"/>
                <w:szCs w:val="21"/>
              </w:rPr>
              <w:t>额定电压</w:t>
            </w:r>
          </w:p>
        </w:tc>
        <w:tc>
          <w:tcPr>
            <w:tcW w:w="1787" w:type="pct"/>
            <w:shd w:val="clear" w:color="auto" w:fill="auto"/>
            <w:vAlign w:val="center"/>
          </w:tcPr>
          <w:p w14:paraId="39CB05A8">
            <w:pPr>
              <w:adjustRightInd w:val="0"/>
              <w:spacing w:line="240" w:lineRule="auto"/>
              <w:ind w:firstLine="0" w:firstLineChars="0"/>
              <w:jc w:val="center"/>
              <w:rPr>
                <w:sz w:val="21"/>
                <w:szCs w:val="21"/>
              </w:rPr>
            </w:pPr>
            <w:r>
              <w:rPr>
                <w:sz w:val="21"/>
                <w:szCs w:val="21"/>
              </w:rPr>
              <w:t>380V</w:t>
            </w:r>
          </w:p>
        </w:tc>
      </w:tr>
      <w:tr w14:paraId="39AE9F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shd w:val="clear" w:color="auto" w:fill="auto"/>
            <w:vAlign w:val="center"/>
          </w:tcPr>
          <w:p w14:paraId="2EBCA8DF">
            <w:pPr>
              <w:adjustRightInd w:val="0"/>
              <w:spacing w:line="240" w:lineRule="auto"/>
              <w:ind w:firstLine="0" w:firstLineChars="0"/>
              <w:jc w:val="center"/>
              <w:rPr>
                <w:sz w:val="21"/>
                <w:szCs w:val="21"/>
              </w:rPr>
            </w:pPr>
          </w:p>
        </w:tc>
        <w:tc>
          <w:tcPr>
            <w:tcW w:w="746" w:type="pct"/>
            <w:vMerge w:val="continue"/>
            <w:shd w:val="clear" w:color="auto" w:fill="auto"/>
            <w:vAlign w:val="center"/>
          </w:tcPr>
          <w:p w14:paraId="29054BB0">
            <w:pPr>
              <w:adjustRightInd w:val="0"/>
              <w:spacing w:line="240" w:lineRule="auto"/>
              <w:ind w:firstLine="0" w:firstLineChars="0"/>
              <w:jc w:val="center"/>
              <w:rPr>
                <w:sz w:val="21"/>
                <w:szCs w:val="21"/>
              </w:rPr>
            </w:pPr>
          </w:p>
        </w:tc>
        <w:tc>
          <w:tcPr>
            <w:tcW w:w="2089" w:type="pct"/>
            <w:shd w:val="clear" w:color="auto" w:fill="auto"/>
            <w:vAlign w:val="center"/>
          </w:tcPr>
          <w:p w14:paraId="2F8D91BB">
            <w:pPr>
              <w:adjustRightInd w:val="0"/>
              <w:spacing w:line="240" w:lineRule="auto"/>
              <w:ind w:firstLine="0" w:firstLineChars="0"/>
              <w:jc w:val="center"/>
              <w:rPr>
                <w:sz w:val="21"/>
                <w:szCs w:val="21"/>
              </w:rPr>
            </w:pPr>
            <w:r>
              <w:rPr>
                <w:sz w:val="21"/>
                <w:szCs w:val="21"/>
              </w:rPr>
              <w:t>额定电流</w:t>
            </w:r>
          </w:p>
        </w:tc>
        <w:tc>
          <w:tcPr>
            <w:tcW w:w="1787" w:type="pct"/>
            <w:shd w:val="clear" w:color="auto" w:fill="auto"/>
            <w:vAlign w:val="center"/>
          </w:tcPr>
          <w:p w14:paraId="78E21946">
            <w:pPr>
              <w:adjustRightInd w:val="0"/>
              <w:spacing w:line="240" w:lineRule="auto"/>
              <w:ind w:firstLine="0" w:firstLineChars="0"/>
              <w:jc w:val="center"/>
              <w:rPr>
                <w:sz w:val="21"/>
                <w:szCs w:val="21"/>
              </w:rPr>
            </w:pPr>
            <w:r>
              <w:rPr>
                <w:sz w:val="21"/>
                <w:szCs w:val="21"/>
              </w:rPr>
              <w:t>160~630A</w:t>
            </w:r>
          </w:p>
        </w:tc>
      </w:tr>
      <w:tr w14:paraId="4B6047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shd w:val="clear" w:color="auto" w:fill="auto"/>
            <w:vAlign w:val="center"/>
          </w:tcPr>
          <w:p w14:paraId="1D0F8ED8">
            <w:pPr>
              <w:adjustRightInd w:val="0"/>
              <w:spacing w:line="240" w:lineRule="auto"/>
              <w:ind w:firstLine="0" w:firstLineChars="0"/>
              <w:jc w:val="center"/>
              <w:rPr>
                <w:sz w:val="21"/>
                <w:szCs w:val="21"/>
              </w:rPr>
            </w:pPr>
          </w:p>
        </w:tc>
        <w:tc>
          <w:tcPr>
            <w:tcW w:w="746" w:type="pct"/>
            <w:vMerge w:val="continue"/>
            <w:shd w:val="clear" w:color="auto" w:fill="auto"/>
            <w:vAlign w:val="center"/>
          </w:tcPr>
          <w:p w14:paraId="3C017662">
            <w:pPr>
              <w:adjustRightInd w:val="0"/>
              <w:spacing w:line="240" w:lineRule="auto"/>
              <w:ind w:firstLine="0" w:firstLineChars="0"/>
              <w:jc w:val="center"/>
              <w:rPr>
                <w:sz w:val="21"/>
                <w:szCs w:val="21"/>
              </w:rPr>
            </w:pPr>
          </w:p>
        </w:tc>
        <w:tc>
          <w:tcPr>
            <w:tcW w:w="2089" w:type="pct"/>
            <w:shd w:val="clear" w:color="auto" w:fill="auto"/>
            <w:vAlign w:val="center"/>
          </w:tcPr>
          <w:p w14:paraId="4109B6D4">
            <w:pPr>
              <w:adjustRightInd w:val="0"/>
              <w:spacing w:line="240" w:lineRule="auto"/>
              <w:ind w:firstLine="0" w:firstLineChars="0"/>
              <w:jc w:val="center"/>
              <w:rPr>
                <w:sz w:val="21"/>
                <w:szCs w:val="21"/>
              </w:rPr>
            </w:pPr>
            <w:r>
              <w:rPr>
                <w:sz w:val="21"/>
                <w:szCs w:val="21"/>
              </w:rPr>
              <w:t>遮断能力（kA）1S</w:t>
            </w:r>
          </w:p>
        </w:tc>
        <w:tc>
          <w:tcPr>
            <w:tcW w:w="1787" w:type="pct"/>
            <w:shd w:val="clear" w:color="auto" w:fill="auto"/>
            <w:vAlign w:val="center"/>
          </w:tcPr>
          <w:p w14:paraId="5D7FADCB">
            <w:pPr>
              <w:adjustRightInd w:val="0"/>
              <w:spacing w:line="240" w:lineRule="auto"/>
              <w:ind w:firstLine="0" w:firstLineChars="0"/>
              <w:jc w:val="center"/>
              <w:rPr>
                <w:sz w:val="21"/>
                <w:szCs w:val="21"/>
              </w:rPr>
            </w:pPr>
            <w:r>
              <w:rPr>
                <w:sz w:val="21"/>
                <w:szCs w:val="21"/>
              </w:rPr>
              <w:t>≥50</w:t>
            </w:r>
          </w:p>
        </w:tc>
      </w:tr>
      <w:tr w14:paraId="650DA5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shd w:val="clear" w:color="auto" w:fill="auto"/>
            <w:vAlign w:val="center"/>
          </w:tcPr>
          <w:p w14:paraId="270EE686">
            <w:pPr>
              <w:adjustRightInd w:val="0"/>
              <w:spacing w:line="240" w:lineRule="auto"/>
              <w:ind w:firstLine="0" w:firstLineChars="0"/>
              <w:jc w:val="center"/>
              <w:rPr>
                <w:sz w:val="21"/>
                <w:szCs w:val="21"/>
              </w:rPr>
            </w:pPr>
          </w:p>
        </w:tc>
        <w:tc>
          <w:tcPr>
            <w:tcW w:w="746" w:type="pct"/>
            <w:vMerge w:val="continue"/>
            <w:shd w:val="clear" w:color="auto" w:fill="auto"/>
            <w:vAlign w:val="center"/>
          </w:tcPr>
          <w:p w14:paraId="5B642712">
            <w:pPr>
              <w:adjustRightInd w:val="0"/>
              <w:spacing w:line="240" w:lineRule="auto"/>
              <w:ind w:firstLine="0" w:firstLineChars="0"/>
              <w:jc w:val="center"/>
              <w:rPr>
                <w:sz w:val="21"/>
                <w:szCs w:val="21"/>
              </w:rPr>
            </w:pPr>
          </w:p>
        </w:tc>
        <w:tc>
          <w:tcPr>
            <w:tcW w:w="2089" w:type="pct"/>
            <w:shd w:val="clear" w:color="auto" w:fill="auto"/>
            <w:vAlign w:val="center"/>
          </w:tcPr>
          <w:p w14:paraId="2931ADA7">
            <w:pPr>
              <w:adjustRightInd w:val="0"/>
              <w:spacing w:line="240" w:lineRule="auto"/>
              <w:ind w:firstLine="0" w:firstLineChars="0"/>
              <w:jc w:val="center"/>
              <w:rPr>
                <w:sz w:val="21"/>
                <w:szCs w:val="21"/>
              </w:rPr>
            </w:pPr>
            <w:r>
              <w:rPr>
                <w:sz w:val="21"/>
                <w:szCs w:val="21"/>
              </w:rPr>
              <w:t>操作方式</w:t>
            </w:r>
          </w:p>
        </w:tc>
        <w:tc>
          <w:tcPr>
            <w:tcW w:w="1787" w:type="pct"/>
            <w:shd w:val="clear" w:color="auto" w:fill="auto"/>
            <w:vAlign w:val="center"/>
          </w:tcPr>
          <w:p w14:paraId="4DAE33C8">
            <w:pPr>
              <w:adjustRightInd w:val="0"/>
              <w:spacing w:line="240" w:lineRule="auto"/>
              <w:ind w:firstLine="0" w:firstLineChars="0"/>
              <w:jc w:val="center"/>
              <w:rPr>
                <w:sz w:val="21"/>
                <w:szCs w:val="21"/>
              </w:rPr>
            </w:pPr>
            <w:r>
              <w:rPr>
                <w:sz w:val="21"/>
                <w:szCs w:val="21"/>
              </w:rPr>
              <w:t>塑壳断路器为手动，</w:t>
            </w:r>
          </w:p>
          <w:p w14:paraId="33E37817">
            <w:pPr>
              <w:adjustRightInd w:val="0"/>
              <w:spacing w:line="240" w:lineRule="auto"/>
              <w:ind w:firstLine="0" w:firstLineChars="0"/>
              <w:jc w:val="center"/>
              <w:rPr>
                <w:sz w:val="21"/>
                <w:szCs w:val="21"/>
              </w:rPr>
            </w:pPr>
            <w:r>
              <w:rPr>
                <w:sz w:val="21"/>
                <w:szCs w:val="21"/>
              </w:rPr>
              <w:t>框架断路器为手动和电动</w:t>
            </w:r>
          </w:p>
        </w:tc>
      </w:tr>
      <w:tr w14:paraId="0613A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Merge w:val="continue"/>
            <w:shd w:val="clear" w:color="auto" w:fill="auto"/>
            <w:vAlign w:val="center"/>
          </w:tcPr>
          <w:p w14:paraId="21A24F24">
            <w:pPr>
              <w:adjustRightInd w:val="0"/>
              <w:spacing w:line="240" w:lineRule="auto"/>
              <w:ind w:firstLine="0" w:firstLineChars="0"/>
              <w:jc w:val="center"/>
              <w:rPr>
                <w:sz w:val="21"/>
                <w:szCs w:val="21"/>
              </w:rPr>
            </w:pPr>
          </w:p>
        </w:tc>
        <w:tc>
          <w:tcPr>
            <w:tcW w:w="746" w:type="pct"/>
            <w:vMerge w:val="continue"/>
            <w:shd w:val="clear" w:color="auto" w:fill="auto"/>
            <w:vAlign w:val="center"/>
          </w:tcPr>
          <w:p w14:paraId="5E154C43">
            <w:pPr>
              <w:adjustRightInd w:val="0"/>
              <w:spacing w:line="240" w:lineRule="auto"/>
              <w:ind w:firstLine="0" w:firstLineChars="0"/>
              <w:jc w:val="center"/>
              <w:rPr>
                <w:sz w:val="21"/>
                <w:szCs w:val="21"/>
              </w:rPr>
            </w:pPr>
          </w:p>
        </w:tc>
        <w:tc>
          <w:tcPr>
            <w:tcW w:w="2089" w:type="pct"/>
            <w:shd w:val="clear" w:color="auto" w:fill="auto"/>
            <w:vAlign w:val="center"/>
          </w:tcPr>
          <w:p w14:paraId="03F71056">
            <w:pPr>
              <w:adjustRightInd w:val="0"/>
              <w:spacing w:line="240" w:lineRule="auto"/>
              <w:ind w:firstLine="0" w:firstLineChars="0"/>
              <w:jc w:val="center"/>
              <w:rPr>
                <w:sz w:val="21"/>
                <w:szCs w:val="21"/>
              </w:rPr>
            </w:pPr>
            <w:r>
              <w:rPr>
                <w:sz w:val="21"/>
                <w:szCs w:val="21"/>
              </w:rPr>
              <w:t>主母线材质</w:t>
            </w:r>
          </w:p>
        </w:tc>
        <w:tc>
          <w:tcPr>
            <w:tcW w:w="1787" w:type="pct"/>
            <w:shd w:val="clear" w:color="auto" w:fill="auto"/>
            <w:vAlign w:val="center"/>
          </w:tcPr>
          <w:p w14:paraId="43F6E957">
            <w:pPr>
              <w:adjustRightInd w:val="0"/>
              <w:spacing w:line="240" w:lineRule="auto"/>
              <w:ind w:firstLine="0" w:firstLineChars="0"/>
              <w:jc w:val="center"/>
              <w:rPr>
                <w:sz w:val="21"/>
                <w:szCs w:val="21"/>
              </w:rPr>
            </w:pPr>
            <w:r>
              <w:rPr>
                <w:sz w:val="21"/>
                <w:szCs w:val="21"/>
              </w:rPr>
              <w:t>铜</w:t>
            </w:r>
          </w:p>
        </w:tc>
      </w:tr>
      <w:tr w14:paraId="76BE9C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6598499F">
            <w:pPr>
              <w:adjustRightInd w:val="0"/>
              <w:spacing w:line="240" w:lineRule="auto"/>
              <w:ind w:firstLine="0" w:firstLineChars="0"/>
              <w:jc w:val="center"/>
              <w:rPr>
                <w:sz w:val="21"/>
                <w:szCs w:val="21"/>
              </w:rPr>
            </w:pPr>
            <w:r>
              <w:rPr>
                <w:sz w:val="21"/>
                <w:szCs w:val="21"/>
              </w:rPr>
              <w:t>17</w:t>
            </w:r>
          </w:p>
        </w:tc>
        <w:tc>
          <w:tcPr>
            <w:tcW w:w="2835" w:type="pct"/>
            <w:gridSpan w:val="2"/>
            <w:vAlign w:val="center"/>
          </w:tcPr>
          <w:p w14:paraId="6FB122F5">
            <w:pPr>
              <w:adjustRightInd w:val="0"/>
              <w:spacing w:line="240" w:lineRule="auto"/>
              <w:ind w:firstLine="0" w:firstLineChars="0"/>
              <w:jc w:val="center"/>
              <w:rPr>
                <w:sz w:val="21"/>
                <w:szCs w:val="21"/>
              </w:rPr>
            </w:pPr>
            <w:r>
              <w:rPr>
                <w:sz w:val="21"/>
                <w:szCs w:val="21"/>
              </w:rPr>
              <w:t>箱式变电站防护等级</w:t>
            </w:r>
          </w:p>
        </w:tc>
        <w:tc>
          <w:tcPr>
            <w:tcW w:w="1787" w:type="pct"/>
            <w:vAlign w:val="center"/>
          </w:tcPr>
          <w:p w14:paraId="4BF37A85">
            <w:pPr>
              <w:adjustRightInd w:val="0"/>
              <w:spacing w:line="240" w:lineRule="auto"/>
              <w:ind w:firstLine="0" w:firstLineChars="0"/>
              <w:jc w:val="center"/>
              <w:rPr>
                <w:sz w:val="21"/>
                <w:szCs w:val="21"/>
              </w:rPr>
            </w:pPr>
            <w:r>
              <w:rPr>
                <w:sz w:val="21"/>
                <w:szCs w:val="21"/>
              </w:rPr>
              <w:t>IP56</w:t>
            </w:r>
          </w:p>
        </w:tc>
      </w:tr>
      <w:tr w14:paraId="4ED2D3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40" w:hRule="atLeast"/>
        </w:trPr>
        <w:tc>
          <w:tcPr>
            <w:tcW w:w="378" w:type="pct"/>
            <w:vAlign w:val="center"/>
          </w:tcPr>
          <w:p w14:paraId="75300495">
            <w:pPr>
              <w:adjustRightInd w:val="0"/>
              <w:spacing w:line="240" w:lineRule="auto"/>
              <w:ind w:firstLine="0" w:firstLineChars="0"/>
              <w:jc w:val="center"/>
              <w:rPr>
                <w:sz w:val="21"/>
                <w:szCs w:val="21"/>
              </w:rPr>
            </w:pPr>
            <w:r>
              <w:rPr>
                <w:sz w:val="21"/>
                <w:szCs w:val="21"/>
              </w:rPr>
              <w:t>18</w:t>
            </w:r>
          </w:p>
        </w:tc>
        <w:tc>
          <w:tcPr>
            <w:tcW w:w="2835" w:type="pct"/>
            <w:gridSpan w:val="2"/>
            <w:vAlign w:val="center"/>
          </w:tcPr>
          <w:p w14:paraId="3F62BA16">
            <w:pPr>
              <w:adjustRightInd w:val="0"/>
              <w:spacing w:line="240" w:lineRule="auto"/>
              <w:ind w:firstLine="0" w:firstLineChars="0"/>
              <w:jc w:val="center"/>
              <w:rPr>
                <w:sz w:val="21"/>
                <w:szCs w:val="21"/>
              </w:rPr>
            </w:pPr>
            <w:r>
              <w:rPr>
                <w:sz w:val="21"/>
                <w:szCs w:val="21"/>
              </w:rPr>
              <w:t>其它</w:t>
            </w:r>
          </w:p>
        </w:tc>
        <w:tc>
          <w:tcPr>
            <w:tcW w:w="1787" w:type="pct"/>
            <w:vAlign w:val="center"/>
          </w:tcPr>
          <w:p w14:paraId="1959467D">
            <w:pPr>
              <w:adjustRightInd w:val="0"/>
              <w:spacing w:line="240" w:lineRule="auto"/>
              <w:ind w:firstLine="0" w:firstLineChars="0"/>
              <w:jc w:val="center"/>
              <w:rPr>
                <w:sz w:val="21"/>
                <w:szCs w:val="21"/>
              </w:rPr>
            </w:pPr>
            <w:r>
              <w:rPr>
                <w:sz w:val="21"/>
                <w:szCs w:val="21"/>
              </w:rPr>
              <w:t>/</w:t>
            </w:r>
          </w:p>
        </w:tc>
      </w:tr>
    </w:tbl>
    <w:p w14:paraId="2810D530">
      <w:pPr>
        <w:tabs>
          <w:tab w:val="center" w:pos="4680"/>
          <w:tab w:val="right" w:pos="9360"/>
        </w:tabs>
        <w:adjustRightInd w:val="0"/>
        <w:spacing w:line="360" w:lineRule="auto"/>
        <w:ind w:firstLine="480"/>
      </w:pPr>
    </w:p>
    <w:p w14:paraId="0D656406">
      <w:pPr>
        <w:numPr>
          <w:ilvl w:val="2"/>
          <w:numId w:val="16"/>
        </w:numPr>
        <w:adjustRightInd w:val="0"/>
        <w:spacing w:line="360" w:lineRule="auto"/>
        <w:ind w:left="0" w:firstLine="480"/>
        <w:outlineLvl w:val="2"/>
      </w:pPr>
      <w:bookmarkStart w:id="568" w:name="_Toc190958934"/>
      <w:bookmarkEnd w:id="568"/>
      <w:bookmarkStart w:id="569" w:name="_Toc190958936"/>
      <w:bookmarkEnd w:id="569"/>
      <w:bookmarkStart w:id="570" w:name="_Toc190958935"/>
      <w:bookmarkEnd w:id="570"/>
      <w:bookmarkStart w:id="571" w:name="_Toc190958937"/>
      <w:bookmarkEnd w:id="571"/>
      <w:bookmarkStart w:id="572" w:name="_Toc190958933"/>
      <w:bookmarkEnd w:id="572"/>
      <w:bookmarkStart w:id="573" w:name="_Toc32137"/>
      <w:bookmarkStart w:id="574" w:name="_Toc17539"/>
      <w:bookmarkStart w:id="575" w:name="_Toc15476"/>
      <w:bookmarkStart w:id="576" w:name="_Toc190958938"/>
      <w:bookmarkStart w:id="577" w:name="_Toc2502"/>
      <w:bookmarkStart w:id="578" w:name="_Toc21564"/>
      <w:r>
        <w:rPr>
          <w:color w:val="000000"/>
          <w:kern w:val="0"/>
        </w:rPr>
        <w:t>施工注意事项</w:t>
      </w:r>
      <w:bookmarkEnd w:id="573"/>
      <w:bookmarkEnd w:id="574"/>
      <w:bookmarkEnd w:id="575"/>
      <w:bookmarkEnd w:id="576"/>
      <w:bookmarkEnd w:id="577"/>
      <w:bookmarkEnd w:id="578"/>
    </w:p>
    <w:p w14:paraId="11005337">
      <w:pPr>
        <w:adjustRightInd w:val="0"/>
        <w:spacing w:line="360" w:lineRule="auto"/>
        <w:ind w:firstLine="480"/>
      </w:pPr>
      <w:r>
        <w:t>（1）</w:t>
      </w:r>
      <w:r>
        <w:rPr>
          <w:rFonts w:hint="eastAsia"/>
          <w:lang w:eastAsia="zh-CN"/>
        </w:rPr>
        <w:t>投标人</w:t>
      </w:r>
      <w:r>
        <w:t>根据工程地质及水文气象条件对标段范围内的临时排水、排污系统负责修建和完善，符合文明施工的要求。</w:t>
      </w:r>
    </w:p>
    <w:p w14:paraId="38FAADD1">
      <w:pPr>
        <w:adjustRightInd w:val="0"/>
        <w:spacing w:line="360" w:lineRule="auto"/>
        <w:ind w:firstLine="480"/>
        <w:rPr>
          <w:kern w:val="0"/>
        </w:rPr>
      </w:pPr>
      <w:r>
        <w:t>（2）</w:t>
      </w:r>
      <w:r>
        <w:rPr>
          <w:kern w:val="0"/>
        </w:rPr>
        <w:t>由于本工程地处舟山岛且为台风影响区域范围内，</w:t>
      </w:r>
      <w:r>
        <w:rPr>
          <w:color w:val="000000"/>
        </w:rPr>
        <w:t>要求</w:t>
      </w:r>
      <w:r>
        <w:rPr>
          <w:rFonts w:hint="eastAsia"/>
          <w:color w:val="000000"/>
          <w:lang w:eastAsia="zh-CN"/>
        </w:rPr>
        <w:t>投标人</w:t>
      </w:r>
      <w:r>
        <w:rPr>
          <w:color w:val="000000"/>
        </w:rPr>
        <w:t>结合当地的地理及气象条件并根据招标人的工期要求</w:t>
      </w:r>
      <w:r>
        <w:rPr>
          <w:kern w:val="0"/>
        </w:rPr>
        <w:t>，编制切实可行的施工进度计划。</w:t>
      </w:r>
    </w:p>
    <w:p w14:paraId="1A7C5C14">
      <w:pPr>
        <w:adjustRightInd w:val="0"/>
        <w:spacing w:line="360" w:lineRule="auto"/>
        <w:ind w:firstLine="480"/>
        <w:rPr>
          <w:color w:val="000000"/>
        </w:rPr>
      </w:pPr>
      <w:r>
        <w:t>（3）</w:t>
      </w:r>
      <w:r>
        <w:rPr>
          <w:color w:val="000000"/>
        </w:rPr>
        <w:t>施工过程中产生的土石方归招标人所有，由</w:t>
      </w:r>
      <w:r>
        <w:rPr>
          <w:rFonts w:hint="eastAsia"/>
          <w:color w:val="000000"/>
          <w:lang w:eastAsia="zh-CN"/>
        </w:rPr>
        <w:t>投标人</w:t>
      </w:r>
      <w:r>
        <w:rPr>
          <w:color w:val="000000"/>
        </w:rPr>
        <w:t>堆放到招标人安排的</w:t>
      </w:r>
      <w:r>
        <w:rPr>
          <w:rFonts w:hint="eastAsia"/>
          <w:color w:val="000000"/>
          <w:lang w:val="en-US" w:eastAsia="zh-CN"/>
        </w:rPr>
        <w:t>场区</w:t>
      </w:r>
      <w:r>
        <w:rPr>
          <w:color w:val="000000"/>
        </w:rPr>
        <w:t>内的堆放点，运距按1km计取。</w:t>
      </w:r>
      <w:r>
        <w:t>土方运至弃土场地，弃土场地中属于本项目弃置的土方的堆砌、场地的平整整理属于合同范围，请</w:t>
      </w:r>
      <w:r>
        <w:rPr>
          <w:rFonts w:hint="eastAsia"/>
          <w:lang w:eastAsia="zh-CN"/>
        </w:rPr>
        <w:t>投标人</w:t>
      </w:r>
      <w:r>
        <w:t>在投标报价时予以考虑。</w:t>
      </w:r>
    </w:p>
    <w:p w14:paraId="701ADC6B">
      <w:pPr>
        <w:autoSpaceDE w:val="0"/>
        <w:autoSpaceDN w:val="0"/>
        <w:adjustRightInd w:val="0"/>
        <w:spacing w:line="360" w:lineRule="auto"/>
        <w:ind w:firstLine="480"/>
      </w:pPr>
      <w:r>
        <w:t>（4）由于施工区域场地狭小，生活临设场地</w:t>
      </w:r>
      <w:r>
        <w:rPr>
          <w:rFonts w:hint="eastAsia"/>
          <w:lang w:eastAsia="zh-CN"/>
        </w:rPr>
        <w:t>投标人</w:t>
      </w:r>
      <w:r>
        <w:t>自行考虑</w:t>
      </w:r>
      <w:r>
        <w:rPr>
          <w:rFonts w:hint="eastAsia"/>
          <w:lang w:val="en-US" w:eastAsia="zh-CN"/>
        </w:rPr>
        <w:t>场外</w:t>
      </w:r>
      <w:r>
        <w:t>租住，请</w:t>
      </w:r>
      <w:r>
        <w:rPr>
          <w:rFonts w:hint="eastAsia"/>
          <w:lang w:eastAsia="zh-CN"/>
        </w:rPr>
        <w:t>投标人</w:t>
      </w:r>
      <w:r>
        <w:t>在投标报价时予以考虑。</w:t>
      </w:r>
    </w:p>
    <w:p w14:paraId="6EE96BDB">
      <w:pPr>
        <w:autoSpaceDE w:val="0"/>
        <w:autoSpaceDN w:val="0"/>
        <w:adjustRightInd w:val="0"/>
        <w:spacing w:line="360" w:lineRule="auto"/>
        <w:ind w:firstLine="480"/>
      </w:pPr>
      <w:r>
        <w:t>（5）</w:t>
      </w:r>
      <w:r>
        <w:rPr>
          <w:rFonts w:hint="eastAsia"/>
          <w:lang w:eastAsia="zh-CN"/>
        </w:rPr>
        <w:t>投标人</w:t>
      </w:r>
      <w:r>
        <w:t>应自行考虑原建筑部分墙体、楼板、屋面等拆除及施工过程中产生的建筑垃圾的外运及处理方式，</w:t>
      </w:r>
      <w:r>
        <w:rPr>
          <w:rFonts w:hint="eastAsia"/>
          <w:lang w:eastAsia="zh-CN"/>
        </w:rPr>
        <w:t>投标人</w:t>
      </w:r>
      <w:r>
        <w:t>在投标报价时予以考虑。</w:t>
      </w:r>
    </w:p>
    <w:p w14:paraId="7809BB88">
      <w:pPr>
        <w:numPr>
          <w:ilvl w:val="1"/>
          <w:numId w:val="14"/>
        </w:numPr>
        <w:adjustRightInd w:val="0"/>
        <w:spacing w:line="360" w:lineRule="auto"/>
        <w:ind w:left="0" w:firstLine="480"/>
        <w:outlineLvl w:val="1"/>
      </w:pPr>
      <w:r>
        <w:t xml:space="preserve"> </w:t>
      </w:r>
      <w:bookmarkStart w:id="579" w:name="_Toc18487"/>
      <w:bookmarkStart w:id="580" w:name="_Toc6042"/>
      <w:bookmarkStart w:id="581" w:name="_Toc4150"/>
      <w:bookmarkStart w:id="582" w:name="_Toc20255"/>
      <w:bookmarkStart w:id="583" w:name="_Toc190958939"/>
      <w:bookmarkStart w:id="584" w:name="_Toc14670"/>
      <w:r>
        <w:t>工期要求</w:t>
      </w:r>
      <w:bookmarkEnd w:id="579"/>
      <w:bookmarkEnd w:id="580"/>
      <w:bookmarkEnd w:id="581"/>
      <w:bookmarkEnd w:id="582"/>
      <w:bookmarkEnd w:id="583"/>
      <w:bookmarkEnd w:id="584"/>
    </w:p>
    <w:p w14:paraId="01D55AB2">
      <w:pPr>
        <w:autoSpaceDE w:val="0"/>
        <w:autoSpaceDN w:val="0"/>
        <w:adjustRightInd w:val="0"/>
        <w:spacing w:line="360" w:lineRule="auto"/>
        <w:ind w:firstLine="480"/>
        <w:rPr>
          <w:rFonts w:hint="eastAsia"/>
          <w:b/>
        </w:rPr>
      </w:pPr>
      <w:r>
        <w:rPr>
          <w:kern w:val="0"/>
        </w:rPr>
        <w:t>本项目计划施工工期为2025年03月31日至2025年05月31日（具体以实际开工时间为准），项目计划总工期62天。</w:t>
      </w:r>
      <w:r>
        <w:rPr>
          <w:rFonts w:hint="eastAsia"/>
          <w:kern w:val="0"/>
          <w:lang w:eastAsia="zh-CN"/>
        </w:rPr>
        <w:t>投标人</w:t>
      </w:r>
      <w:r>
        <w:rPr>
          <w:kern w:val="0"/>
        </w:rPr>
        <w:t>据此自行确定投标工程进度计划，由于本工程地处海岛，须分考虑交通条件及施工期间气候如高温、台风、降雨等因素影响，要求</w:t>
      </w:r>
      <w:r>
        <w:rPr>
          <w:rFonts w:hint="eastAsia"/>
          <w:kern w:val="0"/>
          <w:lang w:eastAsia="zh-CN"/>
        </w:rPr>
        <w:t>投标人</w:t>
      </w:r>
      <w:r>
        <w:rPr>
          <w:kern w:val="0"/>
        </w:rPr>
        <w:t>结合当地的地理及气象条件并根据招标人的工期要求，编制切实可行的施工进度计划</w:t>
      </w:r>
      <w:r>
        <w:rPr>
          <w:rFonts w:hint="eastAsia"/>
          <w:kern w:val="0"/>
        </w:rPr>
        <w:t>。</w:t>
      </w:r>
    </w:p>
    <w:sectPr>
      <w:pgSz w:w="11906" w:h="16838"/>
      <w:pgMar w:top="1418" w:right="1418" w:bottom="1418" w:left="1418" w:header="1021" w:footer="1021" w:gutter="0"/>
      <w:cols w:space="425" w:num="1"/>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7406">
    <w:pPr>
      <w:ind w:left="480"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4556E">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51082">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80FA">
    <w:pPr>
      <w:adjustRightInd w:val="0"/>
      <w:spacing w:line="240" w:lineRule="auto"/>
      <w:ind w:firstLine="0" w:firstLineChars="0"/>
      <w:jc w:val="center"/>
      <w:rPr>
        <w:rStyle w:val="32"/>
        <w:sz w:val="21"/>
        <w:szCs w:val="21"/>
      </w:rPr>
    </w:pPr>
  </w:p>
  <w:p w14:paraId="72005823">
    <w:pPr>
      <w:adjustRightInd w:val="0"/>
      <w:spacing w:line="240" w:lineRule="auto"/>
      <w:ind w:firstLine="0" w:firstLineChars="0"/>
      <w:jc w:val="center"/>
    </w:pPr>
    <w:r>
      <w:rPr>
        <w:rStyle w:val="32"/>
        <w:sz w:val="21"/>
        <w:szCs w:val="21"/>
      </w:rPr>
      <w:fldChar w:fldCharType="begin"/>
    </w:r>
    <w:r>
      <w:rPr>
        <w:rStyle w:val="32"/>
        <w:sz w:val="21"/>
        <w:szCs w:val="21"/>
      </w:rPr>
      <w:instrText xml:space="preserve">PAGE   \* MERGEFORMAT</w:instrText>
    </w:r>
    <w:r>
      <w:rPr>
        <w:rStyle w:val="32"/>
        <w:sz w:val="21"/>
        <w:szCs w:val="21"/>
      </w:rPr>
      <w:fldChar w:fldCharType="separate"/>
    </w:r>
    <w:r>
      <w:rPr>
        <w:rStyle w:val="32"/>
        <w:sz w:val="21"/>
        <w:szCs w:val="21"/>
        <w:lang w:val="zh-CN"/>
      </w:rPr>
      <w:t>3</w:t>
    </w:r>
    <w:r>
      <w:rPr>
        <w:rStyle w:val="32"/>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17652">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ABE77">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821E">
    <w:pPr>
      <w:pStyle w:val="1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02BC01"/>
    <w:multiLevelType w:val="singleLevel"/>
    <w:tmpl w:val="AF02BC01"/>
    <w:lvl w:ilvl="0" w:tentative="0">
      <w:start w:val="1"/>
      <w:numFmt w:val="decimal"/>
      <w:suff w:val="nothing"/>
      <w:lvlText w:val="（%1）"/>
      <w:lvlJc w:val="left"/>
    </w:lvl>
  </w:abstractNum>
  <w:abstractNum w:abstractNumId="1">
    <w:nsid w:val="14C32F1F"/>
    <w:multiLevelType w:val="multilevel"/>
    <w:tmpl w:val="14C32F1F"/>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20313E72"/>
    <w:multiLevelType w:val="multilevel"/>
    <w:tmpl w:val="20313E72"/>
    <w:lvl w:ilvl="0" w:tentative="0">
      <w:start w:val="1"/>
      <w:numFmt w:val="decimal"/>
      <w:lvlText w:val="4.%1"/>
      <w:lvlJc w:val="left"/>
      <w:pPr>
        <w:tabs>
          <w:tab w:val="left" w:pos="397"/>
        </w:tabs>
        <w:ind w:left="397" w:hanging="397"/>
      </w:pPr>
      <w:rPr>
        <w:rFonts w:hint="eastAsia" w:ascii="宋体" w:hAnsi="宋体" w:eastAsia="宋体"/>
        <w:b/>
        <w:color w:val="auto"/>
      </w:rPr>
    </w:lvl>
    <w:lvl w:ilvl="1" w:tentative="0">
      <w:start w:val="1"/>
      <w:numFmt w:val="decimal"/>
      <w:lvlText w:val="4.%2"/>
      <w:lvlJc w:val="left"/>
      <w:pPr>
        <w:tabs>
          <w:tab w:val="left" w:pos="0"/>
        </w:tabs>
        <w:ind w:left="992" w:hanging="567"/>
      </w:pPr>
      <w:rPr>
        <w:rFonts w:hint="eastAsia"/>
      </w:rPr>
    </w:lvl>
    <w:lvl w:ilvl="2" w:tentative="0">
      <w:start w:val="1"/>
      <w:numFmt w:val="decimal"/>
      <w:lvlRestart w:val="0"/>
      <w:lvlText w:val="3.1.%3"/>
      <w:lvlJc w:val="left"/>
      <w:pPr>
        <w:tabs>
          <w:tab w:val="left" w:pos="0"/>
        </w:tabs>
        <w:ind w:left="851" w:hanging="567"/>
      </w:pPr>
      <w:rPr>
        <w:rFonts w:hint="eastAsia"/>
        <w:b/>
        <w:sz w:val="24"/>
        <w:szCs w:val="24"/>
      </w:rPr>
    </w:lvl>
    <w:lvl w:ilvl="3" w:tentative="0">
      <w:start w:val="1"/>
      <w:numFmt w:val="decimal"/>
      <w:lvlText w:val="%34.5.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3">
    <w:nsid w:val="23D4307D"/>
    <w:multiLevelType w:val="multilevel"/>
    <w:tmpl w:val="23D4307D"/>
    <w:lvl w:ilvl="0" w:tentative="0">
      <w:start w:val="1"/>
      <w:numFmt w:val="decimal"/>
      <w:lvlText w:val="4.%1"/>
      <w:lvlJc w:val="left"/>
      <w:pPr>
        <w:tabs>
          <w:tab w:val="left" w:pos="397"/>
        </w:tabs>
        <w:ind w:left="397" w:hanging="397"/>
      </w:pPr>
      <w:rPr>
        <w:rFonts w:hint="eastAsia" w:ascii="宋体" w:hAnsi="宋体" w:eastAsia="宋体"/>
        <w:b/>
        <w:color w:val="auto"/>
      </w:rPr>
    </w:lvl>
    <w:lvl w:ilvl="1" w:tentative="0">
      <w:start w:val="1"/>
      <w:numFmt w:val="decimal"/>
      <w:lvlText w:val="4.%2"/>
      <w:lvlJc w:val="left"/>
      <w:pPr>
        <w:tabs>
          <w:tab w:val="left" w:pos="0"/>
        </w:tabs>
        <w:ind w:left="992" w:hanging="567"/>
      </w:pPr>
      <w:rPr>
        <w:rFonts w:hint="eastAsia"/>
      </w:rPr>
    </w:lvl>
    <w:lvl w:ilvl="2" w:tentative="0">
      <w:start w:val="1"/>
      <w:numFmt w:val="decimal"/>
      <w:lvlRestart w:val="0"/>
      <w:lvlText w:val="4.1.%3"/>
      <w:lvlJc w:val="left"/>
      <w:pPr>
        <w:tabs>
          <w:tab w:val="left" w:pos="0"/>
        </w:tabs>
        <w:ind w:left="851" w:hanging="567"/>
      </w:pPr>
      <w:rPr>
        <w:rFonts w:hint="eastAsia"/>
        <w:b/>
        <w:sz w:val="24"/>
        <w:szCs w:val="24"/>
      </w:rPr>
    </w:lvl>
    <w:lvl w:ilvl="3" w:tentative="0">
      <w:start w:val="1"/>
      <w:numFmt w:val="decimal"/>
      <w:lvlText w:val="%34.5.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4">
    <w:nsid w:val="27F5251E"/>
    <w:multiLevelType w:val="multilevel"/>
    <w:tmpl w:val="27F5251E"/>
    <w:lvl w:ilvl="0" w:tentative="0">
      <w:start w:val="1"/>
      <w:numFmt w:val="decimal"/>
      <w:lvlText w:val="4.%1"/>
      <w:lvlJc w:val="left"/>
      <w:pPr>
        <w:tabs>
          <w:tab w:val="left" w:pos="397"/>
        </w:tabs>
        <w:ind w:left="397" w:hanging="397"/>
      </w:pPr>
      <w:rPr>
        <w:rFonts w:hint="eastAsia" w:ascii="宋体" w:hAnsi="宋体" w:eastAsia="宋体"/>
        <w:b/>
        <w:color w:val="auto"/>
      </w:rPr>
    </w:lvl>
    <w:lvl w:ilvl="1" w:tentative="0">
      <w:start w:val="1"/>
      <w:numFmt w:val="decimal"/>
      <w:lvlText w:val="4.%2"/>
      <w:lvlJc w:val="left"/>
      <w:pPr>
        <w:tabs>
          <w:tab w:val="left" w:pos="0"/>
        </w:tabs>
        <w:ind w:left="992" w:hanging="567"/>
      </w:pPr>
      <w:rPr>
        <w:rFonts w:hint="eastAsia"/>
      </w:rPr>
    </w:lvl>
    <w:lvl w:ilvl="2" w:tentative="0">
      <w:start w:val="1"/>
      <w:numFmt w:val="decimal"/>
      <w:lvlRestart w:val="0"/>
      <w:lvlText w:val="2.5.%3"/>
      <w:lvlJc w:val="left"/>
      <w:pPr>
        <w:tabs>
          <w:tab w:val="left" w:pos="0"/>
        </w:tabs>
        <w:ind w:left="851" w:hanging="567"/>
      </w:pPr>
      <w:rPr>
        <w:rFonts w:hint="eastAsia"/>
        <w:b/>
        <w:sz w:val="24"/>
        <w:szCs w:val="24"/>
      </w:rPr>
    </w:lvl>
    <w:lvl w:ilvl="3" w:tentative="0">
      <w:start w:val="1"/>
      <w:numFmt w:val="decimal"/>
      <w:lvlText w:val="%34.5.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5">
    <w:nsid w:val="2DBC41EC"/>
    <w:multiLevelType w:val="multilevel"/>
    <w:tmpl w:val="2DBC41EC"/>
    <w:lvl w:ilvl="0" w:tentative="0">
      <w:start w:val="4"/>
      <w:numFmt w:val="decimal"/>
      <w:lvlText w:val="%1"/>
      <w:lvlJc w:val="left"/>
      <w:pPr>
        <w:tabs>
          <w:tab w:val="left" w:pos="0"/>
        </w:tabs>
        <w:ind w:left="425" w:hanging="425"/>
      </w:pPr>
      <w:rPr>
        <w:rFonts w:hint="eastAsia"/>
        <w:b/>
      </w:rPr>
    </w:lvl>
    <w:lvl w:ilvl="1" w:tentative="0">
      <w:start w:val="1"/>
      <w:numFmt w:val="decimal"/>
      <w:lvlRestart w:val="0"/>
      <w:isLgl/>
      <w:lvlText w:val="4.%2"/>
      <w:lvlJc w:val="left"/>
      <w:pPr>
        <w:tabs>
          <w:tab w:val="left" w:pos="0"/>
        </w:tabs>
        <w:ind w:left="425" w:hanging="425"/>
      </w:pPr>
      <w:rPr>
        <w:rFonts w:hint="eastAsia"/>
        <w:b/>
      </w:rPr>
    </w:lvl>
    <w:lvl w:ilvl="2" w:tentative="0">
      <w:start w:val="1"/>
      <w:numFmt w:val="decimal"/>
      <w:lvlText w:val="%2%1.%3"/>
      <w:lvlJc w:val="left"/>
      <w:pPr>
        <w:tabs>
          <w:tab w:val="left" w:pos="0"/>
        </w:tabs>
        <w:ind w:left="1418" w:hanging="567"/>
      </w:pPr>
      <w:rPr>
        <w:rFonts w:hint="eastAsia"/>
      </w:rPr>
    </w:lvl>
    <w:lvl w:ilvl="3" w:tentative="0">
      <w:start w:val="1"/>
      <w:numFmt w:val="decimal"/>
      <w:lvlText w:val="%1.%2.%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6">
    <w:nsid w:val="3195575B"/>
    <w:multiLevelType w:val="multilevel"/>
    <w:tmpl w:val="3195575B"/>
    <w:lvl w:ilvl="0" w:tentative="0">
      <w:start w:val="1"/>
      <w:numFmt w:val="decimal"/>
      <w:lvlText w:val="4.%1"/>
      <w:lvlJc w:val="left"/>
      <w:pPr>
        <w:tabs>
          <w:tab w:val="left" w:pos="397"/>
        </w:tabs>
        <w:ind w:left="397" w:hanging="397"/>
      </w:pPr>
      <w:rPr>
        <w:rFonts w:hint="eastAsia" w:ascii="宋体" w:hAnsi="宋体" w:eastAsia="宋体"/>
        <w:b/>
        <w:color w:val="auto"/>
      </w:rPr>
    </w:lvl>
    <w:lvl w:ilvl="1" w:tentative="0">
      <w:start w:val="1"/>
      <w:numFmt w:val="decimal"/>
      <w:lvlText w:val="4.%2"/>
      <w:lvlJc w:val="left"/>
      <w:pPr>
        <w:tabs>
          <w:tab w:val="left" w:pos="0"/>
        </w:tabs>
        <w:ind w:left="992" w:hanging="567"/>
      </w:pPr>
      <w:rPr>
        <w:rFonts w:hint="eastAsia"/>
      </w:rPr>
    </w:lvl>
    <w:lvl w:ilvl="2" w:tentative="0">
      <w:start w:val="1"/>
      <w:numFmt w:val="decimal"/>
      <w:lvlRestart w:val="0"/>
      <w:lvlText w:val="5.2.%3"/>
      <w:lvlJc w:val="left"/>
      <w:pPr>
        <w:tabs>
          <w:tab w:val="left" w:pos="0"/>
        </w:tabs>
        <w:ind w:left="851" w:hanging="567"/>
      </w:pPr>
      <w:rPr>
        <w:rFonts w:hint="default" w:ascii="Times New Roman" w:hAnsi="Times New Roman" w:cs="Times New Roman"/>
        <w:b/>
        <w:sz w:val="24"/>
        <w:szCs w:val="24"/>
      </w:rPr>
    </w:lvl>
    <w:lvl w:ilvl="3" w:tentative="0">
      <w:start w:val="1"/>
      <w:numFmt w:val="decimal"/>
      <w:lvlText w:val="%34.5.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7">
    <w:nsid w:val="42075540"/>
    <w:multiLevelType w:val="multilevel"/>
    <w:tmpl w:val="42075540"/>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8">
    <w:nsid w:val="42EA3C4D"/>
    <w:multiLevelType w:val="multilevel"/>
    <w:tmpl w:val="42EA3C4D"/>
    <w:lvl w:ilvl="0" w:tentative="0">
      <w:start w:val="1"/>
      <w:numFmt w:val="decimal"/>
      <w:lvlText w:val="4.%1"/>
      <w:lvlJc w:val="left"/>
      <w:pPr>
        <w:tabs>
          <w:tab w:val="left" w:pos="397"/>
        </w:tabs>
        <w:ind w:left="397" w:hanging="397"/>
      </w:pPr>
      <w:rPr>
        <w:rFonts w:hint="eastAsia" w:ascii="宋体" w:hAnsi="宋体" w:eastAsia="宋体"/>
        <w:b/>
        <w:color w:val="auto"/>
      </w:rPr>
    </w:lvl>
    <w:lvl w:ilvl="1" w:tentative="0">
      <w:start w:val="1"/>
      <w:numFmt w:val="decimal"/>
      <w:lvlText w:val="4.%2"/>
      <w:lvlJc w:val="left"/>
      <w:pPr>
        <w:tabs>
          <w:tab w:val="left" w:pos="0"/>
        </w:tabs>
        <w:ind w:left="992" w:hanging="567"/>
      </w:pPr>
      <w:rPr>
        <w:rFonts w:hint="eastAsia"/>
      </w:rPr>
    </w:lvl>
    <w:lvl w:ilvl="2" w:tentative="0">
      <w:start w:val="1"/>
      <w:numFmt w:val="decimal"/>
      <w:lvlRestart w:val="0"/>
      <w:lvlText w:val="4.4.%3"/>
      <w:lvlJc w:val="left"/>
      <w:pPr>
        <w:tabs>
          <w:tab w:val="left" w:pos="0"/>
        </w:tabs>
        <w:ind w:left="851" w:hanging="567"/>
      </w:pPr>
      <w:rPr>
        <w:rFonts w:hint="eastAsia"/>
        <w:b/>
        <w:sz w:val="24"/>
        <w:szCs w:val="24"/>
      </w:rPr>
    </w:lvl>
    <w:lvl w:ilvl="3" w:tentative="0">
      <w:start w:val="1"/>
      <w:numFmt w:val="decimal"/>
      <w:lvlText w:val="%34.5.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9">
    <w:nsid w:val="4EB3A37A"/>
    <w:multiLevelType w:val="singleLevel"/>
    <w:tmpl w:val="4EB3A37A"/>
    <w:lvl w:ilvl="0" w:tentative="0">
      <w:start w:val="1"/>
      <w:numFmt w:val="decimal"/>
      <w:lvlText w:val="(%1)"/>
      <w:lvlJc w:val="left"/>
      <w:pPr>
        <w:tabs>
          <w:tab w:val="left" w:pos="312"/>
        </w:tabs>
      </w:pPr>
    </w:lvl>
  </w:abstractNum>
  <w:abstractNum w:abstractNumId="10">
    <w:nsid w:val="53A7D411"/>
    <w:multiLevelType w:val="singleLevel"/>
    <w:tmpl w:val="53A7D411"/>
    <w:lvl w:ilvl="0" w:tentative="0">
      <w:start w:val="1"/>
      <w:numFmt w:val="decimal"/>
      <w:suff w:val="nothing"/>
      <w:lvlText w:val="（%1）"/>
      <w:lvlJc w:val="left"/>
    </w:lvl>
  </w:abstractNum>
  <w:abstractNum w:abstractNumId="11">
    <w:nsid w:val="53A82166"/>
    <w:multiLevelType w:val="singleLevel"/>
    <w:tmpl w:val="53A82166"/>
    <w:lvl w:ilvl="0" w:tentative="0">
      <w:start w:val="1"/>
      <w:numFmt w:val="decimal"/>
      <w:suff w:val="nothing"/>
      <w:lvlText w:val="（%1）"/>
      <w:lvlJc w:val="left"/>
    </w:lvl>
  </w:abstractNum>
  <w:abstractNum w:abstractNumId="12">
    <w:nsid w:val="53A8217F"/>
    <w:multiLevelType w:val="singleLevel"/>
    <w:tmpl w:val="53A8217F"/>
    <w:lvl w:ilvl="0" w:tentative="0">
      <w:start w:val="1"/>
      <w:numFmt w:val="decimal"/>
      <w:suff w:val="nothing"/>
      <w:lvlText w:val="（%1）"/>
      <w:lvlJc w:val="left"/>
    </w:lvl>
  </w:abstractNum>
  <w:abstractNum w:abstractNumId="13">
    <w:nsid w:val="5A2921DA"/>
    <w:multiLevelType w:val="multilevel"/>
    <w:tmpl w:val="5A2921DA"/>
    <w:lvl w:ilvl="0" w:tentative="0">
      <w:start w:val="1"/>
      <w:numFmt w:val="decimal"/>
      <w:lvlText w:val="4.%1"/>
      <w:lvlJc w:val="left"/>
      <w:pPr>
        <w:tabs>
          <w:tab w:val="left" w:pos="397"/>
        </w:tabs>
        <w:ind w:left="397" w:hanging="397"/>
      </w:pPr>
      <w:rPr>
        <w:rFonts w:hint="eastAsia" w:ascii="宋体" w:hAnsi="宋体" w:eastAsia="宋体"/>
        <w:b/>
        <w:color w:val="auto"/>
      </w:rPr>
    </w:lvl>
    <w:lvl w:ilvl="1" w:tentative="0">
      <w:start w:val="1"/>
      <w:numFmt w:val="decimal"/>
      <w:lvlText w:val="4.%2"/>
      <w:lvlJc w:val="left"/>
      <w:pPr>
        <w:tabs>
          <w:tab w:val="left" w:pos="0"/>
        </w:tabs>
        <w:ind w:left="992" w:hanging="567"/>
      </w:pPr>
      <w:rPr>
        <w:rFonts w:hint="eastAsia"/>
      </w:rPr>
    </w:lvl>
    <w:lvl w:ilvl="2" w:tentative="0">
      <w:start w:val="1"/>
      <w:numFmt w:val="decimal"/>
      <w:lvlRestart w:val="0"/>
      <w:lvlText w:val="1.%2.%3"/>
      <w:lvlJc w:val="left"/>
      <w:pPr>
        <w:tabs>
          <w:tab w:val="left" w:pos="0"/>
        </w:tabs>
        <w:ind w:left="851" w:hanging="567"/>
      </w:pPr>
      <w:rPr>
        <w:rFonts w:hint="eastAsia"/>
        <w:b/>
        <w:sz w:val="24"/>
        <w:szCs w:val="24"/>
      </w:rPr>
    </w:lvl>
    <w:lvl w:ilvl="3" w:tentative="0">
      <w:start w:val="1"/>
      <w:numFmt w:val="decimal"/>
      <w:lvlText w:val="%34.5.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14">
    <w:nsid w:val="5E570C70"/>
    <w:multiLevelType w:val="multilevel"/>
    <w:tmpl w:val="5E570C70"/>
    <w:lvl w:ilvl="0" w:tentative="0">
      <w:start w:val="4"/>
      <w:numFmt w:val="decimal"/>
      <w:lvlText w:val="%1"/>
      <w:lvlJc w:val="left"/>
      <w:pPr>
        <w:tabs>
          <w:tab w:val="left" w:pos="0"/>
        </w:tabs>
        <w:ind w:left="425" w:hanging="425"/>
      </w:pPr>
      <w:rPr>
        <w:rFonts w:hint="eastAsia"/>
        <w:b/>
      </w:rPr>
    </w:lvl>
    <w:lvl w:ilvl="1" w:tentative="0">
      <w:start w:val="1"/>
      <w:numFmt w:val="decimal"/>
      <w:lvlRestart w:val="0"/>
      <w:isLgl/>
      <w:lvlText w:val="1.%2"/>
      <w:lvlJc w:val="left"/>
      <w:pPr>
        <w:tabs>
          <w:tab w:val="left" w:pos="0"/>
        </w:tabs>
        <w:ind w:left="425" w:hanging="425"/>
      </w:pPr>
      <w:rPr>
        <w:rFonts w:hint="eastAsia"/>
        <w:b/>
      </w:rPr>
    </w:lvl>
    <w:lvl w:ilvl="2" w:tentative="0">
      <w:start w:val="1"/>
      <w:numFmt w:val="decimal"/>
      <w:lvlText w:val="%2%1.%3"/>
      <w:lvlJc w:val="left"/>
      <w:pPr>
        <w:tabs>
          <w:tab w:val="left" w:pos="0"/>
        </w:tabs>
        <w:ind w:left="1418" w:hanging="567"/>
      </w:pPr>
      <w:rPr>
        <w:rFonts w:hint="eastAsia"/>
      </w:rPr>
    </w:lvl>
    <w:lvl w:ilvl="3" w:tentative="0">
      <w:start w:val="1"/>
      <w:numFmt w:val="decimal"/>
      <w:lvlText w:val="%1.%2.%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15">
    <w:nsid w:val="62650D1D"/>
    <w:multiLevelType w:val="singleLevel"/>
    <w:tmpl w:val="62650D1D"/>
    <w:lvl w:ilvl="0" w:tentative="0">
      <w:start w:val="1"/>
      <w:numFmt w:val="bullet"/>
      <w:lvlText w:val=""/>
      <w:lvlJc w:val="left"/>
      <w:pPr>
        <w:ind w:left="420" w:hanging="420"/>
      </w:pPr>
      <w:rPr>
        <w:rFonts w:hint="default" w:ascii="Wingdings" w:hAnsi="Wingdings"/>
      </w:rPr>
    </w:lvl>
  </w:abstractNum>
  <w:abstractNum w:abstractNumId="16">
    <w:nsid w:val="681E063A"/>
    <w:multiLevelType w:val="multilevel"/>
    <w:tmpl w:val="681E063A"/>
    <w:lvl w:ilvl="0" w:tentative="0">
      <w:start w:val="4"/>
      <w:numFmt w:val="decimal"/>
      <w:lvlText w:val="%1"/>
      <w:lvlJc w:val="left"/>
      <w:pPr>
        <w:tabs>
          <w:tab w:val="left" w:pos="0"/>
        </w:tabs>
        <w:ind w:left="425" w:hanging="425"/>
      </w:pPr>
      <w:rPr>
        <w:rFonts w:hint="eastAsia"/>
        <w:b/>
      </w:rPr>
    </w:lvl>
    <w:lvl w:ilvl="1" w:tentative="0">
      <w:start w:val="1"/>
      <w:numFmt w:val="decimal"/>
      <w:lvlRestart w:val="0"/>
      <w:isLgl/>
      <w:lvlText w:val="2.%2"/>
      <w:lvlJc w:val="left"/>
      <w:pPr>
        <w:tabs>
          <w:tab w:val="left" w:pos="0"/>
        </w:tabs>
        <w:ind w:left="425" w:hanging="425"/>
      </w:pPr>
      <w:rPr>
        <w:rFonts w:hint="eastAsia"/>
        <w:b/>
      </w:rPr>
    </w:lvl>
    <w:lvl w:ilvl="2" w:tentative="0">
      <w:start w:val="1"/>
      <w:numFmt w:val="decimal"/>
      <w:lvlText w:val="%2%1.%3"/>
      <w:lvlJc w:val="left"/>
      <w:pPr>
        <w:tabs>
          <w:tab w:val="left" w:pos="0"/>
        </w:tabs>
        <w:ind w:left="1418" w:hanging="567"/>
      </w:pPr>
      <w:rPr>
        <w:rFonts w:hint="eastAsia"/>
      </w:rPr>
    </w:lvl>
    <w:lvl w:ilvl="3" w:tentative="0">
      <w:start w:val="1"/>
      <w:numFmt w:val="decimal"/>
      <w:lvlText w:val="%1.%2.%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17">
    <w:nsid w:val="6AC67060"/>
    <w:multiLevelType w:val="multilevel"/>
    <w:tmpl w:val="6AC67060"/>
    <w:lvl w:ilvl="0" w:tentative="0">
      <w:start w:val="4"/>
      <w:numFmt w:val="decimal"/>
      <w:lvlText w:val="%1"/>
      <w:lvlJc w:val="left"/>
      <w:pPr>
        <w:tabs>
          <w:tab w:val="left" w:pos="0"/>
        </w:tabs>
        <w:ind w:left="425" w:hanging="425"/>
      </w:pPr>
      <w:rPr>
        <w:rFonts w:hint="eastAsia"/>
        <w:b/>
      </w:rPr>
    </w:lvl>
    <w:lvl w:ilvl="1" w:tentative="0">
      <w:start w:val="1"/>
      <w:numFmt w:val="decimal"/>
      <w:lvlRestart w:val="0"/>
      <w:isLgl/>
      <w:lvlText w:val="5.%2"/>
      <w:lvlJc w:val="left"/>
      <w:pPr>
        <w:tabs>
          <w:tab w:val="left" w:pos="0"/>
        </w:tabs>
        <w:ind w:left="425" w:hanging="425"/>
      </w:pPr>
      <w:rPr>
        <w:rFonts w:hint="eastAsia"/>
        <w:b/>
        <w:sz w:val="24"/>
        <w:szCs w:val="24"/>
      </w:rPr>
    </w:lvl>
    <w:lvl w:ilvl="2" w:tentative="0">
      <w:start w:val="1"/>
      <w:numFmt w:val="decimal"/>
      <w:lvlText w:val="%2%1.%3"/>
      <w:lvlJc w:val="left"/>
      <w:pPr>
        <w:tabs>
          <w:tab w:val="left" w:pos="0"/>
        </w:tabs>
        <w:ind w:left="1418" w:hanging="567"/>
      </w:pPr>
      <w:rPr>
        <w:rFonts w:hint="eastAsia"/>
      </w:rPr>
    </w:lvl>
    <w:lvl w:ilvl="3" w:tentative="0">
      <w:start w:val="1"/>
      <w:numFmt w:val="decimal"/>
      <w:lvlText w:val="%1.%2.%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18">
    <w:nsid w:val="6DC9AC9F"/>
    <w:multiLevelType w:val="singleLevel"/>
    <w:tmpl w:val="6DC9AC9F"/>
    <w:lvl w:ilvl="0" w:tentative="0">
      <w:start w:val="1"/>
      <w:numFmt w:val="decimal"/>
      <w:suff w:val="nothing"/>
      <w:lvlText w:val="（%1）"/>
      <w:lvlJc w:val="left"/>
    </w:lvl>
  </w:abstractNum>
  <w:abstractNum w:abstractNumId="19">
    <w:nsid w:val="795F0DD1"/>
    <w:multiLevelType w:val="multilevel"/>
    <w:tmpl w:val="795F0DD1"/>
    <w:lvl w:ilvl="0" w:tentative="0">
      <w:start w:val="1"/>
      <w:numFmt w:val="decimal"/>
      <w:lvlText w:val="4.%1"/>
      <w:lvlJc w:val="left"/>
      <w:pPr>
        <w:tabs>
          <w:tab w:val="left" w:pos="397"/>
        </w:tabs>
        <w:ind w:left="397" w:hanging="397"/>
      </w:pPr>
      <w:rPr>
        <w:rFonts w:hint="eastAsia" w:ascii="宋体" w:hAnsi="宋体" w:eastAsia="宋体"/>
        <w:b/>
        <w:color w:val="auto"/>
      </w:rPr>
    </w:lvl>
    <w:lvl w:ilvl="1" w:tentative="0">
      <w:start w:val="1"/>
      <w:numFmt w:val="decimal"/>
      <w:lvlText w:val="4.%2"/>
      <w:lvlJc w:val="left"/>
      <w:pPr>
        <w:tabs>
          <w:tab w:val="left" w:pos="0"/>
        </w:tabs>
        <w:ind w:left="992" w:hanging="567"/>
      </w:pPr>
      <w:rPr>
        <w:rFonts w:hint="eastAsia"/>
      </w:rPr>
    </w:lvl>
    <w:lvl w:ilvl="2" w:tentative="0">
      <w:start w:val="1"/>
      <w:numFmt w:val="decimal"/>
      <w:lvlRestart w:val="0"/>
      <w:lvlText w:val="4.2.%3"/>
      <w:lvlJc w:val="left"/>
      <w:pPr>
        <w:tabs>
          <w:tab w:val="left" w:pos="0"/>
        </w:tabs>
        <w:ind w:left="851" w:hanging="567"/>
      </w:pPr>
      <w:rPr>
        <w:rFonts w:hint="eastAsia"/>
        <w:b/>
        <w:sz w:val="24"/>
        <w:szCs w:val="24"/>
      </w:rPr>
    </w:lvl>
    <w:lvl w:ilvl="3" w:tentative="0">
      <w:start w:val="1"/>
      <w:numFmt w:val="decimal"/>
      <w:lvlText w:val="%34.5.3.%4"/>
      <w:lvlJc w:val="left"/>
      <w:pPr>
        <w:tabs>
          <w:tab w:val="left" w:pos="0"/>
        </w:tabs>
        <w:ind w:left="1984" w:hanging="708"/>
      </w:pPr>
      <w:rPr>
        <w:rFonts w:hint="eastAsia"/>
      </w:rPr>
    </w:lvl>
    <w:lvl w:ilvl="4" w:tentative="0">
      <w:start w:val="1"/>
      <w:numFmt w:val="decimal"/>
      <w:lvlText w:val="%1.%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num w:numId="1">
    <w:abstractNumId w:val="14"/>
  </w:num>
  <w:num w:numId="2">
    <w:abstractNumId w:val="13"/>
  </w:num>
  <w:num w:numId="3">
    <w:abstractNumId w:val="1"/>
  </w:num>
  <w:num w:numId="4">
    <w:abstractNumId w:val="10"/>
  </w:num>
  <w:num w:numId="5">
    <w:abstractNumId w:val="11"/>
  </w:num>
  <w:num w:numId="6">
    <w:abstractNumId w:val="16"/>
  </w:num>
  <w:num w:numId="7">
    <w:abstractNumId w:val="12"/>
  </w:num>
  <w:num w:numId="8">
    <w:abstractNumId w:val="4"/>
  </w:num>
  <w:num w:numId="9">
    <w:abstractNumId w:val="2"/>
  </w:num>
  <w:num w:numId="10">
    <w:abstractNumId w:val="5"/>
  </w:num>
  <w:num w:numId="11">
    <w:abstractNumId w:val="3"/>
  </w:num>
  <w:num w:numId="12">
    <w:abstractNumId w:val="19"/>
  </w:num>
  <w:num w:numId="13">
    <w:abstractNumId w:val="8"/>
  </w:num>
  <w:num w:numId="14">
    <w:abstractNumId w:val="17"/>
  </w:num>
  <w:num w:numId="15">
    <w:abstractNumId w:val="9"/>
  </w:num>
  <w:num w:numId="16">
    <w:abstractNumId w:val="6"/>
  </w:num>
  <w:num w:numId="17">
    <w:abstractNumId w:val="15"/>
  </w:num>
  <w:num w:numId="18">
    <w:abstractNumId w:val="18"/>
  </w:num>
  <w:num w:numId="19">
    <w:abstractNumId w:val="0"/>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dit="readOnly"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yMjVlOTNhNDU3YzlhYzhhNDliZjRmYjNhNTg2YWUifQ=="/>
  </w:docVars>
  <w:rsids>
    <w:rsidRoot w:val="004836E6"/>
    <w:rsid w:val="00010C69"/>
    <w:rsid w:val="00013514"/>
    <w:rsid w:val="00013C16"/>
    <w:rsid w:val="00013F0B"/>
    <w:rsid w:val="00030948"/>
    <w:rsid w:val="000325C7"/>
    <w:rsid w:val="00035AB6"/>
    <w:rsid w:val="000503C8"/>
    <w:rsid w:val="0005792F"/>
    <w:rsid w:val="00060CA2"/>
    <w:rsid w:val="00067632"/>
    <w:rsid w:val="00070E1B"/>
    <w:rsid w:val="00073D64"/>
    <w:rsid w:val="00095F2D"/>
    <w:rsid w:val="000A0AEC"/>
    <w:rsid w:val="000B24D9"/>
    <w:rsid w:val="000D6841"/>
    <w:rsid w:val="000E7ED9"/>
    <w:rsid w:val="000F5CC5"/>
    <w:rsid w:val="00103E6F"/>
    <w:rsid w:val="00110AA0"/>
    <w:rsid w:val="001124A0"/>
    <w:rsid w:val="00121936"/>
    <w:rsid w:val="00121B59"/>
    <w:rsid w:val="00125A9A"/>
    <w:rsid w:val="00152F6D"/>
    <w:rsid w:val="0015647E"/>
    <w:rsid w:val="00160C43"/>
    <w:rsid w:val="00171439"/>
    <w:rsid w:val="001B08CB"/>
    <w:rsid w:val="001B67F9"/>
    <w:rsid w:val="001C13B8"/>
    <w:rsid w:val="001D4467"/>
    <w:rsid w:val="001E4A5A"/>
    <w:rsid w:val="001F1FD2"/>
    <w:rsid w:val="001F3FB7"/>
    <w:rsid w:val="001F4A2A"/>
    <w:rsid w:val="001F6D62"/>
    <w:rsid w:val="0021406B"/>
    <w:rsid w:val="00220898"/>
    <w:rsid w:val="00230C1E"/>
    <w:rsid w:val="00232C80"/>
    <w:rsid w:val="002457AF"/>
    <w:rsid w:val="00247B1F"/>
    <w:rsid w:val="0026596C"/>
    <w:rsid w:val="002746F5"/>
    <w:rsid w:val="002A4043"/>
    <w:rsid w:val="002A73F1"/>
    <w:rsid w:val="002B2CCE"/>
    <w:rsid w:val="002B4DD6"/>
    <w:rsid w:val="002B75C2"/>
    <w:rsid w:val="002C185E"/>
    <w:rsid w:val="002C21E5"/>
    <w:rsid w:val="002D4D7A"/>
    <w:rsid w:val="002D6A84"/>
    <w:rsid w:val="002F41D8"/>
    <w:rsid w:val="002F4240"/>
    <w:rsid w:val="002F6455"/>
    <w:rsid w:val="002F64EA"/>
    <w:rsid w:val="002F7F96"/>
    <w:rsid w:val="003067A0"/>
    <w:rsid w:val="00316BDF"/>
    <w:rsid w:val="00321754"/>
    <w:rsid w:val="003334C8"/>
    <w:rsid w:val="00350FFD"/>
    <w:rsid w:val="00355AB6"/>
    <w:rsid w:val="00370F0E"/>
    <w:rsid w:val="0039388A"/>
    <w:rsid w:val="003A1E19"/>
    <w:rsid w:val="003C4EFB"/>
    <w:rsid w:val="003C502B"/>
    <w:rsid w:val="003E42E1"/>
    <w:rsid w:val="003F5FCB"/>
    <w:rsid w:val="003F6E59"/>
    <w:rsid w:val="004030F5"/>
    <w:rsid w:val="00421766"/>
    <w:rsid w:val="0043671E"/>
    <w:rsid w:val="00437079"/>
    <w:rsid w:val="00440CD3"/>
    <w:rsid w:val="004439AC"/>
    <w:rsid w:val="00445C94"/>
    <w:rsid w:val="0045783E"/>
    <w:rsid w:val="0046318B"/>
    <w:rsid w:val="0047608E"/>
    <w:rsid w:val="004836E6"/>
    <w:rsid w:val="00486267"/>
    <w:rsid w:val="004B3B8D"/>
    <w:rsid w:val="004C7EE7"/>
    <w:rsid w:val="004D0E09"/>
    <w:rsid w:val="004D32EE"/>
    <w:rsid w:val="004E3C18"/>
    <w:rsid w:val="00513233"/>
    <w:rsid w:val="0051649F"/>
    <w:rsid w:val="00554D06"/>
    <w:rsid w:val="00557345"/>
    <w:rsid w:val="00560A9D"/>
    <w:rsid w:val="00567300"/>
    <w:rsid w:val="00577725"/>
    <w:rsid w:val="00592DB7"/>
    <w:rsid w:val="00597F24"/>
    <w:rsid w:val="005A21E7"/>
    <w:rsid w:val="005A424C"/>
    <w:rsid w:val="005A7583"/>
    <w:rsid w:val="005B213C"/>
    <w:rsid w:val="005D1D5A"/>
    <w:rsid w:val="005E2E5D"/>
    <w:rsid w:val="005E4808"/>
    <w:rsid w:val="005F436B"/>
    <w:rsid w:val="00610FB8"/>
    <w:rsid w:val="006256F6"/>
    <w:rsid w:val="00644ACD"/>
    <w:rsid w:val="00656A0A"/>
    <w:rsid w:val="00663F48"/>
    <w:rsid w:val="0066654C"/>
    <w:rsid w:val="006672B3"/>
    <w:rsid w:val="00681ADE"/>
    <w:rsid w:val="006A7029"/>
    <w:rsid w:val="006B02C4"/>
    <w:rsid w:val="006B3FAE"/>
    <w:rsid w:val="006C559B"/>
    <w:rsid w:val="006E2DF1"/>
    <w:rsid w:val="006E5DB1"/>
    <w:rsid w:val="0071334D"/>
    <w:rsid w:val="007566E2"/>
    <w:rsid w:val="007834EE"/>
    <w:rsid w:val="00787BB6"/>
    <w:rsid w:val="007948B4"/>
    <w:rsid w:val="0079540C"/>
    <w:rsid w:val="007A31D8"/>
    <w:rsid w:val="007A6CF3"/>
    <w:rsid w:val="007B53DB"/>
    <w:rsid w:val="007B5F4C"/>
    <w:rsid w:val="007C255E"/>
    <w:rsid w:val="007E084E"/>
    <w:rsid w:val="00804DBA"/>
    <w:rsid w:val="008065D7"/>
    <w:rsid w:val="00807DFF"/>
    <w:rsid w:val="00822662"/>
    <w:rsid w:val="0082359E"/>
    <w:rsid w:val="008271CF"/>
    <w:rsid w:val="00862623"/>
    <w:rsid w:val="008678A4"/>
    <w:rsid w:val="008707FF"/>
    <w:rsid w:val="008726E1"/>
    <w:rsid w:val="00874954"/>
    <w:rsid w:val="00875B07"/>
    <w:rsid w:val="00877C08"/>
    <w:rsid w:val="0089024C"/>
    <w:rsid w:val="008B72A2"/>
    <w:rsid w:val="008D0AB0"/>
    <w:rsid w:val="00906384"/>
    <w:rsid w:val="00911907"/>
    <w:rsid w:val="0092030B"/>
    <w:rsid w:val="00934C38"/>
    <w:rsid w:val="00945EFC"/>
    <w:rsid w:val="00950867"/>
    <w:rsid w:val="0096277A"/>
    <w:rsid w:val="009A4825"/>
    <w:rsid w:val="009A75F3"/>
    <w:rsid w:val="009B4544"/>
    <w:rsid w:val="009C057D"/>
    <w:rsid w:val="009C3DEF"/>
    <w:rsid w:val="009D33DE"/>
    <w:rsid w:val="009E4C70"/>
    <w:rsid w:val="009F01C5"/>
    <w:rsid w:val="00A16D0D"/>
    <w:rsid w:val="00A40641"/>
    <w:rsid w:val="00A41149"/>
    <w:rsid w:val="00A4572B"/>
    <w:rsid w:val="00A61C16"/>
    <w:rsid w:val="00A70F9B"/>
    <w:rsid w:val="00A81EBB"/>
    <w:rsid w:val="00AA0C06"/>
    <w:rsid w:val="00AB4ED7"/>
    <w:rsid w:val="00AD06EA"/>
    <w:rsid w:val="00AD3630"/>
    <w:rsid w:val="00AE05C8"/>
    <w:rsid w:val="00AE1C7F"/>
    <w:rsid w:val="00B26631"/>
    <w:rsid w:val="00B31FE0"/>
    <w:rsid w:val="00B40C5E"/>
    <w:rsid w:val="00B52655"/>
    <w:rsid w:val="00B610C1"/>
    <w:rsid w:val="00B6671B"/>
    <w:rsid w:val="00B831A2"/>
    <w:rsid w:val="00B842B2"/>
    <w:rsid w:val="00BA405D"/>
    <w:rsid w:val="00BB32C3"/>
    <w:rsid w:val="00BB431D"/>
    <w:rsid w:val="00BC3315"/>
    <w:rsid w:val="00BD24B5"/>
    <w:rsid w:val="00BE7374"/>
    <w:rsid w:val="00BF274A"/>
    <w:rsid w:val="00C04A62"/>
    <w:rsid w:val="00C05453"/>
    <w:rsid w:val="00C1256C"/>
    <w:rsid w:val="00C265D9"/>
    <w:rsid w:val="00C34BB7"/>
    <w:rsid w:val="00C424F5"/>
    <w:rsid w:val="00C42E5D"/>
    <w:rsid w:val="00C55FC5"/>
    <w:rsid w:val="00C72D4B"/>
    <w:rsid w:val="00C74B33"/>
    <w:rsid w:val="00C828E9"/>
    <w:rsid w:val="00CA1445"/>
    <w:rsid w:val="00CA7882"/>
    <w:rsid w:val="00CB20C3"/>
    <w:rsid w:val="00CC5A8B"/>
    <w:rsid w:val="00CD0A7E"/>
    <w:rsid w:val="00CD5B7E"/>
    <w:rsid w:val="00D01FA3"/>
    <w:rsid w:val="00D1304A"/>
    <w:rsid w:val="00D17B80"/>
    <w:rsid w:val="00D22637"/>
    <w:rsid w:val="00D2652B"/>
    <w:rsid w:val="00D37D4C"/>
    <w:rsid w:val="00D43D16"/>
    <w:rsid w:val="00D45537"/>
    <w:rsid w:val="00D45D72"/>
    <w:rsid w:val="00D70F9C"/>
    <w:rsid w:val="00D752D9"/>
    <w:rsid w:val="00D810A5"/>
    <w:rsid w:val="00D85C2E"/>
    <w:rsid w:val="00D92779"/>
    <w:rsid w:val="00DB41DF"/>
    <w:rsid w:val="00DC0580"/>
    <w:rsid w:val="00DE4A8B"/>
    <w:rsid w:val="00E01C6E"/>
    <w:rsid w:val="00E14CFA"/>
    <w:rsid w:val="00E47F67"/>
    <w:rsid w:val="00E55E93"/>
    <w:rsid w:val="00E561D7"/>
    <w:rsid w:val="00E622B2"/>
    <w:rsid w:val="00E642BB"/>
    <w:rsid w:val="00E776A0"/>
    <w:rsid w:val="00EB3FC5"/>
    <w:rsid w:val="00EC121E"/>
    <w:rsid w:val="00ED16E4"/>
    <w:rsid w:val="00EE0B4B"/>
    <w:rsid w:val="00EE111B"/>
    <w:rsid w:val="00EF537D"/>
    <w:rsid w:val="00EF673B"/>
    <w:rsid w:val="00F033AF"/>
    <w:rsid w:val="00F0418D"/>
    <w:rsid w:val="00F05C17"/>
    <w:rsid w:val="00F078BB"/>
    <w:rsid w:val="00F57857"/>
    <w:rsid w:val="00F61382"/>
    <w:rsid w:val="00F6236F"/>
    <w:rsid w:val="00F721AF"/>
    <w:rsid w:val="00F752D6"/>
    <w:rsid w:val="00FB002F"/>
    <w:rsid w:val="00FB5558"/>
    <w:rsid w:val="00FC5E3B"/>
    <w:rsid w:val="00FD73E9"/>
    <w:rsid w:val="00FD746E"/>
    <w:rsid w:val="00FE7906"/>
    <w:rsid w:val="00FF3F2B"/>
    <w:rsid w:val="00FF4D57"/>
    <w:rsid w:val="035F48A0"/>
    <w:rsid w:val="05170751"/>
    <w:rsid w:val="06DC2C39"/>
    <w:rsid w:val="06EC0D1A"/>
    <w:rsid w:val="08D13817"/>
    <w:rsid w:val="0B7648FA"/>
    <w:rsid w:val="10DB74CE"/>
    <w:rsid w:val="11867141"/>
    <w:rsid w:val="125C0F63"/>
    <w:rsid w:val="146B59BF"/>
    <w:rsid w:val="191C636B"/>
    <w:rsid w:val="19E155EF"/>
    <w:rsid w:val="1B886580"/>
    <w:rsid w:val="1D303373"/>
    <w:rsid w:val="1DB947FD"/>
    <w:rsid w:val="1FBE5A00"/>
    <w:rsid w:val="22323EC3"/>
    <w:rsid w:val="234E4553"/>
    <w:rsid w:val="241B7C05"/>
    <w:rsid w:val="24233357"/>
    <w:rsid w:val="266E0965"/>
    <w:rsid w:val="292024ED"/>
    <w:rsid w:val="296D4414"/>
    <w:rsid w:val="2A4D7312"/>
    <w:rsid w:val="2B0459C6"/>
    <w:rsid w:val="2C6B7F24"/>
    <w:rsid w:val="2E383E35"/>
    <w:rsid w:val="2EBF2949"/>
    <w:rsid w:val="300F761B"/>
    <w:rsid w:val="312016B6"/>
    <w:rsid w:val="3801173C"/>
    <w:rsid w:val="3851592F"/>
    <w:rsid w:val="39DD1909"/>
    <w:rsid w:val="3B931A83"/>
    <w:rsid w:val="3D2B7CF9"/>
    <w:rsid w:val="3ED063E7"/>
    <w:rsid w:val="41A5639A"/>
    <w:rsid w:val="42C746B3"/>
    <w:rsid w:val="43441126"/>
    <w:rsid w:val="438169EF"/>
    <w:rsid w:val="48FF7556"/>
    <w:rsid w:val="4A8268DC"/>
    <w:rsid w:val="4C82133E"/>
    <w:rsid w:val="4CC26E65"/>
    <w:rsid w:val="51CF0535"/>
    <w:rsid w:val="51D10FB9"/>
    <w:rsid w:val="53CF7082"/>
    <w:rsid w:val="543F566E"/>
    <w:rsid w:val="59FB77BC"/>
    <w:rsid w:val="5A273743"/>
    <w:rsid w:val="5AC40219"/>
    <w:rsid w:val="5B142509"/>
    <w:rsid w:val="5BED59B0"/>
    <w:rsid w:val="5CCD7CBB"/>
    <w:rsid w:val="61251748"/>
    <w:rsid w:val="652E1C81"/>
    <w:rsid w:val="65C258A5"/>
    <w:rsid w:val="6BD8319E"/>
    <w:rsid w:val="6C152AE5"/>
    <w:rsid w:val="6CC26C15"/>
    <w:rsid w:val="6EAC120C"/>
    <w:rsid w:val="6EB16A88"/>
    <w:rsid w:val="6EBF3100"/>
    <w:rsid w:val="6F5D0AC2"/>
    <w:rsid w:val="70DB6336"/>
    <w:rsid w:val="72AE3C93"/>
    <w:rsid w:val="757E794D"/>
    <w:rsid w:val="75EB2245"/>
    <w:rsid w:val="7654327E"/>
    <w:rsid w:val="79002DCB"/>
    <w:rsid w:val="795F5CE7"/>
    <w:rsid w:val="7B996743"/>
    <w:rsid w:val="7F4D23F2"/>
    <w:rsid w:val="7F5931D8"/>
    <w:rsid w:val="7F870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napToGrid w:val="0"/>
      <w:spacing w:line="50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50"/>
    <w:autoRedefine/>
    <w:qFormat/>
    <w:uiPriority w:val="0"/>
    <w:pPr>
      <w:keepNext/>
      <w:keepLines/>
      <w:spacing w:before="340" w:after="330" w:line="578" w:lineRule="atLeast"/>
      <w:outlineLvl w:val="0"/>
    </w:pPr>
    <w:rPr>
      <w:b/>
      <w:bCs/>
      <w:kern w:val="44"/>
      <w:sz w:val="44"/>
      <w:szCs w:val="44"/>
    </w:rPr>
  </w:style>
  <w:style w:type="paragraph" w:styleId="2">
    <w:name w:val="heading 2"/>
    <w:basedOn w:val="1"/>
    <w:next w:val="1"/>
    <w:link w:val="37"/>
    <w:autoRedefine/>
    <w:qFormat/>
    <w:uiPriority w:val="0"/>
    <w:pPr>
      <w:keepNext/>
      <w:keepLines/>
      <w:tabs>
        <w:tab w:val="left" w:pos="567"/>
      </w:tabs>
      <w:spacing w:beforeLines="50" w:afterLines="50"/>
      <w:ind w:firstLine="0" w:firstLineChars="0"/>
      <w:outlineLvl w:val="1"/>
    </w:pPr>
    <w:rPr>
      <w:b/>
      <w:bCs/>
      <w:sz w:val="28"/>
      <w:szCs w:val="32"/>
    </w:rPr>
  </w:style>
  <w:style w:type="paragraph" w:styleId="4">
    <w:name w:val="heading 3"/>
    <w:basedOn w:val="1"/>
    <w:next w:val="1"/>
    <w:link w:val="38"/>
    <w:qFormat/>
    <w:uiPriority w:val="0"/>
    <w:pPr>
      <w:keepNext/>
      <w:keepLines/>
      <w:tabs>
        <w:tab w:val="left" w:pos="567"/>
      </w:tabs>
      <w:ind w:firstLine="0" w:firstLineChars="0"/>
      <w:outlineLvl w:val="2"/>
    </w:pPr>
    <w:rPr>
      <w:b/>
      <w:bCs/>
      <w:szCs w:val="32"/>
    </w:rPr>
  </w:style>
  <w:style w:type="paragraph" w:styleId="5">
    <w:name w:val="heading 4"/>
    <w:basedOn w:val="1"/>
    <w:next w:val="1"/>
    <w:autoRedefine/>
    <w:qFormat/>
    <w:uiPriority w:val="0"/>
    <w:pPr>
      <w:ind w:firstLine="0" w:firstLineChars="0"/>
      <w:outlineLvl w:val="3"/>
    </w:p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snapToGrid/>
      <w:ind w:left="2520" w:leftChars="1200" w:firstLine="480"/>
    </w:pPr>
  </w:style>
  <w:style w:type="paragraph" w:styleId="7">
    <w:name w:val="Normal Indent"/>
    <w:basedOn w:val="1"/>
    <w:link w:val="80"/>
    <w:autoRedefine/>
    <w:qFormat/>
    <w:uiPriority w:val="0"/>
    <w:pPr>
      <w:snapToGrid/>
      <w:spacing w:line="240" w:lineRule="auto"/>
      <w:ind w:firstLine="420" w:firstLineChars="0"/>
    </w:pPr>
    <w:rPr>
      <w:sz w:val="21"/>
      <w:szCs w:val="20"/>
    </w:rPr>
  </w:style>
  <w:style w:type="paragraph" w:styleId="8">
    <w:name w:val="index 5"/>
    <w:basedOn w:val="1"/>
    <w:next w:val="1"/>
    <w:autoRedefine/>
    <w:qFormat/>
    <w:uiPriority w:val="0"/>
    <w:pPr>
      <w:snapToGrid/>
      <w:ind w:left="1680" w:firstLine="560"/>
    </w:pPr>
  </w:style>
  <w:style w:type="paragraph" w:styleId="9">
    <w:name w:val="Document Map"/>
    <w:basedOn w:val="1"/>
    <w:link w:val="46"/>
    <w:qFormat/>
    <w:uiPriority w:val="0"/>
    <w:pPr>
      <w:snapToGrid/>
      <w:ind w:firstLine="480"/>
    </w:pPr>
    <w:rPr>
      <w:rFonts w:ascii="宋体" w:eastAsia="Times New Roman"/>
      <w:sz w:val="18"/>
      <w:szCs w:val="18"/>
    </w:rPr>
  </w:style>
  <w:style w:type="paragraph" w:styleId="10">
    <w:name w:val="annotation text"/>
    <w:basedOn w:val="1"/>
    <w:link w:val="81"/>
    <w:autoRedefine/>
    <w:qFormat/>
    <w:uiPriority w:val="99"/>
    <w:pPr>
      <w:autoSpaceDE w:val="0"/>
      <w:autoSpaceDN w:val="0"/>
      <w:adjustRightInd w:val="0"/>
      <w:snapToGrid/>
      <w:ind w:firstLine="0" w:firstLineChars="0"/>
      <w:jc w:val="left"/>
      <w:textAlignment w:val="baseline"/>
    </w:pPr>
    <w:rPr>
      <w:kern w:val="0"/>
      <w:szCs w:val="20"/>
    </w:rPr>
  </w:style>
  <w:style w:type="paragraph" w:styleId="11">
    <w:name w:val="Body Text Indent"/>
    <w:basedOn w:val="1"/>
    <w:autoRedefine/>
    <w:qFormat/>
    <w:uiPriority w:val="0"/>
    <w:pPr>
      <w:snapToGrid/>
      <w:spacing w:line="360" w:lineRule="auto"/>
      <w:ind w:firstLine="420"/>
    </w:pPr>
    <w:rPr>
      <w:rFonts w:ascii="宋体" w:eastAsia="Times New Roman"/>
      <w:kern w:val="22"/>
      <w:sz w:val="28"/>
      <w:szCs w:val="28"/>
    </w:rPr>
  </w:style>
  <w:style w:type="paragraph" w:styleId="12">
    <w:name w:val="toc 5"/>
    <w:basedOn w:val="1"/>
    <w:next w:val="1"/>
    <w:autoRedefine/>
    <w:qFormat/>
    <w:uiPriority w:val="0"/>
    <w:pPr>
      <w:snapToGrid/>
      <w:ind w:left="1680" w:leftChars="800" w:firstLine="480"/>
    </w:pPr>
  </w:style>
  <w:style w:type="paragraph" w:styleId="13">
    <w:name w:val="toc 3"/>
    <w:basedOn w:val="1"/>
    <w:next w:val="1"/>
    <w:autoRedefine/>
    <w:qFormat/>
    <w:uiPriority w:val="39"/>
    <w:pPr>
      <w:ind w:left="840" w:leftChars="400"/>
    </w:pPr>
  </w:style>
  <w:style w:type="paragraph" w:styleId="14">
    <w:name w:val="Plain Text"/>
    <w:basedOn w:val="1"/>
    <w:autoRedefine/>
    <w:qFormat/>
    <w:uiPriority w:val="0"/>
    <w:pPr>
      <w:widowControl/>
      <w:snapToGrid/>
      <w:ind w:firstLine="560"/>
      <w:jc w:val="left"/>
    </w:pPr>
    <w:rPr>
      <w:rFonts w:ascii="宋体" w:hAnsi="Courier New"/>
      <w:kern w:val="0"/>
    </w:rPr>
  </w:style>
  <w:style w:type="paragraph" w:styleId="15">
    <w:name w:val="toc 8"/>
    <w:basedOn w:val="1"/>
    <w:next w:val="1"/>
    <w:autoRedefine/>
    <w:qFormat/>
    <w:uiPriority w:val="0"/>
    <w:pPr>
      <w:snapToGrid/>
      <w:ind w:left="2940" w:leftChars="1400" w:firstLine="480"/>
    </w:pPr>
  </w:style>
  <w:style w:type="paragraph" w:styleId="16">
    <w:name w:val="Balloon Text"/>
    <w:basedOn w:val="1"/>
    <w:link w:val="71"/>
    <w:autoRedefine/>
    <w:semiHidden/>
    <w:qFormat/>
    <w:uiPriority w:val="0"/>
    <w:rPr>
      <w:sz w:val="18"/>
      <w:szCs w:val="18"/>
    </w:rPr>
  </w:style>
  <w:style w:type="paragraph" w:styleId="17">
    <w:name w:val="footer"/>
    <w:basedOn w:val="1"/>
    <w:link w:val="45"/>
    <w:autoRedefine/>
    <w:qFormat/>
    <w:uiPriority w:val="0"/>
    <w:pPr>
      <w:tabs>
        <w:tab w:val="center" w:pos="4153"/>
        <w:tab w:val="right" w:pos="8306"/>
      </w:tabs>
      <w:ind w:firstLine="480"/>
      <w:jc w:val="left"/>
    </w:pPr>
    <w:rPr>
      <w:rFonts w:eastAsia="Times New Roman"/>
      <w:sz w:val="18"/>
      <w:szCs w:val="18"/>
    </w:rPr>
  </w:style>
  <w:style w:type="paragraph" w:styleId="18">
    <w:name w:val="header"/>
    <w:basedOn w:val="1"/>
    <w:link w:val="47"/>
    <w:autoRedefine/>
    <w:qFormat/>
    <w:uiPriority w:val="0"/>
    <w:pPr>
      <w:pBdr>
        <w:bottom w:val="single" w:color="auto" w:sz="6" w:space="1"/>
      </w:pBdr>
      <w:tabs>
        <w:tab w:val="center" w:pos="4153"/>
        <w:tab w:val="right" w:pos="8306"/>
      </w:tabs>
      <w:ind w:firstLine="480"/>
      <w:jc w:val="center"/>
    </w:pPr>
    <w:rPr>
      <w:rFonts w:eastAsia="Times New Roman"/>
      <w:sz w:val="18"/>
      <w:szCs w:val="18"/>
    </w:rPr>
  </w:style>
  <w:style w:type="paragraph" w:styleId="19">
    <w:name w:val="toc 1"/>
    <w:basedOn w:val="1"/>
    <w:next w:val="1"/>
    <w:autoRedefine/>
    <w:qFormat/>
    <w:uiPriority w:val="39"/>
    <w:pPr>
      <w:tabs>
        <w:tab w:val="right" w:leader="dot" w:pos="8664"/>
      </w:tabs>
      <w:ind w:firstLine="480"/>
      <w:jc w:val="center"/>
    </w:pPr>
  </w:style>
  <w:style w:type="paragraph" w:styleId="20">
    <w:name w:val="toc 4"/>
    <w:basedOn w:val="1"/>
    <w:next w:val="1"/>
    <w:qFormat/>
    <w:uiPriority w:val="0"/>
    <w:pPr>
      <w:snapToGrid/>
      <w:ind w:left="1260" w:leftChars="600" w:firstLine="480"/>
    </w:pPr>
  </w:style>
  <w:style w:type="paragraph" w:styleId="21">
    <w:name w:val="Subtitle"/>
    <w:basedOn w:val="1"/>
    <w:next w:val="1"/>
    <w:link w:val="49"/>
    <w:autoRedefine/>
    <w:qFormat/>
    <w:uiPriority w:val="0"/>
    <w:pPr>
      <w:snapToGrid/>
      <w:spacing w:before="240" w:after="60" w:line="312" w:lineRule="auto"/>
      <w:ind w:firstLine="480"/>
      <w:jc w:val="center"/>
      <w:outlineLvl w:val="1"/>
    </w:pPr>
    <w:rPr>
      <w:rFonts w:ascii="Cambria" w:hAnsi="Cambria" w:eastAsia="Times New Roman"/>
      <w:b/>
      <w:bCs/>
      <w:kern w:val="28"/>
      <w:sz w:val="32"/>
      <w:szCs w:val="32"/>
    </w:rPr>
  </w:style>
  <w:style w:type="paragraph" w:styleId="22">
    <w:name w:val="toc 6"/>
    <w:basedOn w:val="1"/>
    <w:next w:val="1"/>
    <w:autoRedefine/>
    <w:qFormat/>
    <w:uiPriority w:val="0"/>
    <w:pPr>
      <w:snapToGrid/>
      <w:ind w:left="2100" w:leftChars="1000" w:firstLine="480"/>
    </w:pPr>
  </w:style>
  <w:style w:type="paragraph" w:styleId="23">
    <w:name w:val="toc 2"/>
    <w:basedOn w:val="1"/>
    <w:next w:val="1"/>
    <w:autoRedefine/>
    <w:qFormat/>
    <w:uiPriority w:val="39"/>
    <w:pPr>
      <w:tabs>
        <w:tab w:val="right" w:leader="dot" w:pos="8664"/>
      </w:tabs>
      <w:ind w:left="480" w:leftChars="200" w:firstLine="480"/>
    </w:pPr>
    <w:rPr>
      <w:bCs/>
    </w:rPr>
  </w:style>
  <w:style w:type="paragraph" w:styleId="24">
    <w:name w:val="toc 9"/>
    <w:basedOn w:val="1"/>
    <w:next w:val="1"/>
    <w:autoRedefine/>
    <w:qFormat/>
    <w:uiPriority w:val="0"/>
    <w:pPr>
      <w:snapToGrid/>
      <w:ind w:left="3360" w:leftChars="1600" w:firstLine="480"/>
    </w:pPr>
  </w:style>
  <w:style w:type="paragraph" w:styleId="25">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ind w:firstLine="560"/>
      <w:jc w:val="left"/>
    </w:pPr>
    <w:rPr>
      <w:rFonts w:ascii="Arial" w:hAnsi="Arial" w:cs="Arial"/>
      <w:kern w:val="0"/>
    </w:rPr>
  </w:style>
  <w:style w:type="paragraph" w:styleId="26">
    <w:name w:val="Normal (Web)"/>
    <w:qFormat/>
    <w:uiPriority w:val="0"/>
    <w:pPr>
      <w:spacing w:before="100" w:beforeAutospacing="1" w:after="100" w:afterAutospacing="1" w:line="329" w:lineRule="atLeast"/>
    </w:pPr>
    <w:rPr>
      <w:rFonts w:ascii="Times New Roman" w:hAnsi="Times New Roman" w:eastAsia="宋体" w:cs="Times New Roman"/>
      <w:sz w:val="22"/>
      <w:szCs w:val="22"/>
      <w:lang w:val="en-US" w:eastAsia="zh-CN" w:bidi="ar-SA"/>
    </w:rPr>
  </w:style>
  <w:style w:type="paragraph" w:styleId="27">
    <w:name w:val="Title"/>
    <w:basedOn w:val="1"/>
    <w:next w:val="1"/>
    <w:link w:val="48"/>
    <w:autoRedefine/>
    <w:qFormat/>
    <w:uiPriority w:val="0"/>
    <w:pPr>
      <w:snapToGrid/>
      <w:spacing w:before="240" w:after="60"/>
      <w:ind w:firstLine="480"/>
      <w:jc w:val="center"/>
      <w:outlineLvl w:val="0"/>
    </w:pPr>
    <w:rPr>
      <w:rFonts w:ascii="Cambria" w:hAnsi="Cambria" w:eastAsia="Times New Roman"/>
      <w:b/>
      <w:bCs/>
      <w:sz w:val="32"/>
      <w:szCs w:val="32"/>
    </w:rPr>
  </w:style>
  <w:style w:type="table" w:styleId="29">
    <w:name w:val="Table Grid"/>
    <w:basedOn w:val="28"/>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0"/>
    <w:rPr>
      <w:b/>
    </w:rPr>
  </w:style>
  <w:style w:type="character" w:styleId="32">
    <w:name w:val="page number"/>
    <w:basedOn w:val="30"/>
    <w:autoRedefine/>
    <w:qFormat/>
    <w:uiPriority w:val="0"/>
  </w:style>
  <w:style w:type="character" w:styleId="33">
    <w:name w:val="Emphasis"/>
    <w:basedOn w:val="30"/>
    <w:autoRedefine/>
    <w:qFormat/>
    <w:uiPriority w:val="0"/>
    <w:rPr>
      <w:color w:val="CC0000"/>
    </w:rPr>
  </w:style>
  <w:style w:type="character" w:styleId="34">
    <w:name w:val="Hyperlink"/>
    <w:basedOn w:val="30"/>
    <w:autoRedefine/>
    <w:qFormat/>
    <w:uiPriority w:val="99"/>
    <w:rPr>
      <w:color w:val="0000FF"/>
      <w:u w:val="single"/>
    </w:rPr>
  </w:style>
  <w:style w:type="character" w:styleId="35">
    <w:name w:val="annotation reference"/>
    <w:basedOn w:val="30"/>
    <w:qFormat/>
    <w:uiPriority w:val="0"/>
    <w:rPr>
      <w:sz w:val="21"/>
      <w:szCs w:val="21"/>
    </w:rPr>
  </w:style>
  <w:style w:type="paragraph" w:customStyle="1" w:styleId="36">
    <w:name w:val="Char Char Char Char"/>
    <w:basedOn w:val="1"/>
    <w:autoRedefine/>
    <w:qFormat/>
    <w:uiPriority w:val="0"/>
    <w:pPr>
      <w:snapToGrid/>
      <w:ind w:firstLine="480"/>
    </w:pPr>
  </w:style>
  <w:style w:type="character" w:customStyle="1" w:styleId="37">
    <w:name w:val="标题 2 字符"/>
    <w:basedOn w:val="30"/>
    <w:link w:val="2"/>
    <w:autoRedefine/>
    <w:qFormat/>
    <w:uiPriority w:val="0"/>
    <w:rPr>
      <w:rFonts w:eastAsia="宋体"/>
      <w:b/>
      <w:bCs/>
      <w:kern w:val="2"/>
      <w:sz w:val="28"/>
      <w:szCs w:val="32"/>
      <w:lang w:val="en-US" w:eastAsia="zh-CN" w:bidi="ar-SA"/>
    </w:rPr>
  </w:style>
  <w:style w:type="character" w:customStyle="1" w:styleId="38">
    <w:name w:val="标题 3 字符"/>
    <w:basedOn w:val="30"/>
    <w:link w:val="4"/>
    <w:autoRedefine/>
    <w:semiHidden/>
    <w:qFormat/>
    <w:uiPriority w:val="0"/>
    <w:rPr>
      <w:rFonts w:eastAsia="宋体"/>
      <w:b/>
      <w:bCs/>
      <w:kern w:val="2"/>
      <w:sz w:val="24"/>
      <w:szCs w:val="32"/>
      <w:lang w:val="en-US" w:eastAsia="zh-CN" w:bidi="ar-SA"/>
    </w:rPr>
  </w:style>
  <w:style w:type="character" w:customStyle="1" w:styleId="39">
    <w:name w:val="p11"/>
    <w:basedOn w:val="30"/>
    <w:autoRedefine/>
    <w:qFormat/>
    <w:uiPriority w:val="0"/>
  </w:style>
  <w:style w:type="paragraph" w:customStyle="1" w:styleId="40">
    <w:name w:val="标书标题3"/>
    <w:basedOn w:val="1"/>
    <w:autoRedefine/>
    <w:qFormat/>
    <w:uiPriority w:val="0"/>
    <w:pPr>
      <w:adjustRightInd w:val="0"/>
      <w:spacing w:beforeLines="50" w:afterLines="50"/>
      <w:ind w:firstLine="0" w:firstLineChars="0"/>
      <w:jc w:val="left"/>
      <w:outlineLvl w:val="2"/>
    </w:pPr>
    <w:rPr>
      <w:rFonts w:ascii="宋体" w:hAnsi="宋体"/>
      <w:b/>
      <w:bCs/>
      <w:szCs w:val="32"/>
    </w:rPr>
  </w:style>
  <w:style w:type="paragraph" w:customStyle="1" w:styleId="41">
    <w:name w:val="标书正文"/>
    <w:basedOn w:val="1"/>
    <w:autoRedefine/>
    <w:qFormat/>
    <w:uiPriority w:val="0"/>
    <w:pPr>
      <w:adjustRightInd w:val="0"/>
    </w:pPr>
    <w:rPr>
      <w:rFonts w:ascii="宋体" w:hAnsi="宋体"/>
      <w:color w:val="000000"/>
    </w:rPr>
  </w:style>
  <w:style w:type="paragraph" w:customStyle="1" w:styleId="42">
    <w:name w:val="标题4（无缩进）"/>
    <w:basedOn w:val="1"/>
    <w:autoRedefine/>
    <w:qFormat/>
    <w:uiPriority w:val="0"/>
    <w:pPr>
      <w:ind w:firstLine="0" w:firstLineChars="0"/>
    </w:pPr>
    <w:rPr>
      <w:rFonts w:cs="宋体"/>
      <w:szCs w:val="20"/>
    </w:rPr>
  </w:style>
  <w:style w:type="character" w:customStyle="1" w:styleId="43">
    <w:name w:val="段落样式 Char"/>
    <w:link w:val="44"/>
    <w:autoRedefine/>
    <w:qFormat/>
    <w:locked/>
    <w:uiPriority w:val="0"/>
    <w:rPr>
      <w:rFonts w:ascii="宋体" w:hAnsi="宋体" w:eastAsia="宋体"/>
      <w:kern w:val="2"/>
      <w:sz w:val="24"/>
      <w:szCs w:val="24"/>
      <w:lang w:val="en-US" w:eastAsia="zh-CN" w:bidi="ar-SA"/>
    </w:rPr>
  </w:style>
  <w:style w:type="paragraph" w:customStyle="1" w:styleId="44">
    <w:name w:val="段落样式"/>
    <w:basedOn w:val="1"/>
    <w:link w:val="43"/>
    <w:autoRedefine/>
    <w:qFormat/>
    <w:uiPriority w:val="0"/>
    <w:pPr>
      <w:snapToGrid/>
      <w:spacing w:line="360" w:lineRule="auto"/>
    </w:pPr>
    <w:rPr>
      <w:rFonts w:ascii="宋体" w:hAnsi="宋体"/>
    </w:rPr>
  </w:style>
  <w:style w:type="character" w:customStyle="1" w:styleId="45">
    <w:name w:val="页脚 字符"/>
    <w:basedOn w:val="30"/>
    <w:link w:val="17"/>
    <w:autoRedefine/>
    <w:qFormat/>
    <w:uiPriority w:val="0"/>
    <w:rPr>
      <w:kern w:val="2"/>
      <w:sz w:val="18"/>
      <w:szCs w:val="18"/>
      <w:lang w:bidi="ar-SA"/>
    </w:rPr>
  </w:style>
  <w:style w:type="character" w:customStyle="1" w:styleId="46">
    <w:name w:val="文档结构图 字符"/>
    <w:basedOn w:val="30"/>
    <w:link w:val="9"/>
    <w:autoRedefine/>
    <w:qFormat/>
    <w:uiPriority w:val="0"/>
    <w:rPr>
      <w:rFonts w:ascii="宋体"/>
      <w:kern w:val="2"/>
      <w:sz w:val="18"/>
      <w:szCs w:val="18"/>
      <w:lang w:bidi="ar-SA"/>
    </w:rPr>
  </w:style>
  <w:style w:type="character" w:customStyle="1" w:styleId="47">
    <w:name w:val="页眉 字符"/>
    <w:basedOn w:val="30"/>
    <w:link w:val="18"/>
    <w:autoRedefine/>
    <w:qFormat/>
    <w:uiPriority w:val="0"/>
    <w:rPr>
      <w:kern w:val="2"/>
      <w:sz w:val="18"/>
      <w:szCs w:val="18"/>
      <w:lang w:bidi="ar-SA"/>
    </w:rPr>
  </w:style>
  <w:style w:type="character" w:customStyle="1" w:styleId="48">
    <w:name w:val="标题 字符"/>
    <w:basedOn w:val="30"/>
    <w:link w:val="27"/>
    <w:autoRedefine/>
    <w:qFormat/>
    <w:uiPriority w:val="0"/>
    <w:rPr>
      <w:rFonts w:ascii="Cambria" w:hAnsi="Cambria"/>
      <w:b/>
      <w:bCs/>
      <w:kern w:val="2"/>
      <w:sz w:val="32"/>
      <w:szCs w:val="32"/>
      <w:lang w:bidi="ar-SA"/>
    </w:rPr>
  </w:style>
  <w:style w:type="character" w:customStyle="1" w:styleId="49">
    <w:name w:val="副标题 字符"/>
    <w:basedOn w:val="30"/>
    <w:link w:val="21"/>
    <w:autoRedefine/>
    <w:qFormat/>
    <w:uiPriority w:val="0"/>
    <w:rPr>
      <w:rFonts w:ascii="Cambria" w:hAnsi="Cambria"/>
      <w:b/>
      <w:bCs/>
      <w:kern w:val="28"/>
      <w:sz w:val="32"/>
      <w:szCs w:val="32"/>
      <w:lang w:bidi="ar-SA"/>
    </w:rPr>
  </w:style>
  <w:style w:type="character" w:customStyle="1" w:styleId="50">
    <w:name w:val="标题 1 字符"/>
    <w:basedOn w:val="30"/>
    <w:link w:val="3"/>
    <w:autoRedefine/>
    <w:qFormat/>
    <w:uiPriority w:val="0"/>
    <w:rPr>
      <w:rFonts w:eastAsia="宋体"/>
      <w:b/>
      <w:bCs/>
      <w:kern w:val="44"/>
      <w:sz w:val="44"/>
      <w:szCs w:val="44"/>
      <w:lang w:val="en-US" w:eastAsia="zh-CN" w:bidi="ar-SA"/>
    </w:rPr>
  </w:style>
  <w:style w:type="paragraph" w:customStyle="1" w:styleId="51">
    <w:name w:val="样式 宋体 首行缩进:  2 字符1"/>
    <w:basedOn w:val="1"/>
    <w:autoRedefine/>
    <w:qFormat/>
    <w:uiPriority w:val="0"/>
    <w:pPr>
      <w:snapToGrid/>
      <w:spacing w:line="400" w:lineRule="exact"/>
    </w:pPr>
    <w:rPr>
      <w:rFonts w:ascii="宋体" w:cs="宋体"/>
      <w:szCs w:val="20"/>
    </w:rPr>
  </w:style>
  <w:style w:type="paragraph" w:customStyle="1" w:styleId="52">
    <w:name w:val="样式 样式 首行缩进:  2 字符 + 行距: 1.5 倍行距"/>
    <w:basedOn w:val="1"/>
    <w:autoRedefine/>
    <w:qFormat/>
    <w:uiPriority w:val="0"/>
    <w:pPr>
      <w:snapToGrid/>
      <w:spacing w:line="400" w:lineRule="exact"/>
    </w:pPr>
    <w:rPr>
      <w:rFonts w:cs="宋体"/>
      <w:szCs w:val="20"/>
    </w:rPr>
  </w:style>
  <w:style w:type="paragraph" w:customStyle="1" w:styleId="53">
    <w:name w:val="Char Char Char Char Char Char"/>
    <w:basedOn w:val="1"/>
    <w:autoRedefine/>
    <w:qFormat/>
    <w:uiPriority w:val="0"/>
    <w:pPr>
      <w:snapToGrid/>
      <w:ind w:firstLine="480"/>
    </w:pPr>
  </w:style>
  <w:style w:type="paragraph" w:customStyle="1" w:styleId="54">
    <w:name w:val="样式 黑色 首行缩进:  2 字符2"/>
    <w:basedOn w:val="1"/>
    <w:autoRedefine/>
    <w:qFormat/>
    <w:uiPriority w:val="0"/>
    <w:pPr>
      <w:snapToGrid/>
      <w:spacing w:line="360" w:lineRule="auto"/>
    </w:pPr>
    <w:rPr>
      <w:rFonts w:cs="宋体"/>
      <w:color w:val="000000"/>
      <w:szCs w:val="20"/>
    </w:rPr>
  </w:style>
  <w:style w:type="paragraph" w:customStyle="1" w:styleId="55">
    <w:name w:val="样式 样式 纯文本普通文字 Char普通文字纯文本 Char Char Char Char Char纯文本 Char Char....4"/>
    <w:basedOn w:val="1"/>
    <w:autoRedefine/>
    <w:qFormat/>
    <w:uiPriority w:val="0"/>
    <w:pPr>
      <w:snapToGrid/>
      <w:spacing w:line="400" w:lineRule="exact"/>
    </w:pPr>
    <w:rPr>
      <w:rFonts w:hAnsi="Courier New" w:cs="宋体"/>
      <w:szCs w:val="20"/>
    </w:rPr>
  </w:style>
  <w:style w:type="paragraph" w:customStyle="1" w:styleId="56">
    <w:name w:val="样式 首行缩进:  2 字符5"/>
    <w:basedOn w:val="1"/>
    <w:autoRedefine/>
    <w:qFormat/>
    <w:uiPriority w:val="0"/>
    <w:pPr>
      <w:snapToGrid/>
      <w:spacing w:line="360" w:lineRule="auto"/>
    </w:pPr>
    <w:rPr>
      <w:rFonts w:cs="宋体"/>
      <w:szCs w:val="20"/>
    </w:rPr>
  </w:style>
  <w:style w:type="paragraph" w:customStyle="1" w:styleId="57">
    <w:name w:val="p15"/>
    <w:basedOn w:val="1"/>
    <w:autoRedefine/>
    <w:qFormat/>
    <w:uiPriority w:val="0"/>
    <w:pPr>
      <w:widowControl/>
      <w:snapToGrid/>
      <w:spacing w:line="360" w:lineRule="auto"/>
      <w:ind w:firstLine="420"/>
    </w:pPr>
    <w:rPr>
      <w:rFonts w:ascii="宋体" w:hAnsi="宋体" w:cs="宋体"/>
      <w:kern w:val="0"/>
    </w:rPr>
  </w:style>
  <w:style w:type="paragraph" w:customStyle="1" w:styleId="58">
    <w:name w:val="样式 样式 首行缩进:  2 字符3 + 首行缩进:  2 字符"/>
    <w:basedOn w:val="1"/>
    <w:autoRedefine/>
    <w:qFormat/>
    <w:uiPriority w:val="0"/>
    <w:pPr>
      <w:snapToGrid/>
      <w:spacing w:line="400" w:lineRule="exact"/>
    </w:pPr>
    <w:rPr>
      <w:rFonts w:cs="宋体"/>
      <w:szCs w:val="20"/>
    </w:rPr>
  </w:style>
  <w:style w:type="paragraph" w:customStyle="1" w:styleId="59">
    <w:name w:val="二级标题"/>
    <w:basedOn w:val="1"/>
    <w:autoRedefine/>
    <w:qFormat/>
    <w:uiPriority w:val="0"/>
    <w:pPr>
      <w:snapToGrid/>
      <w:spacing w:before="156" w:after="156"/>
      <w:ind w:firstLine="480"/>
    </w:pPr>
    <w:rPr>
      <w:rFonts w:cs="宋体"/>
      <w:b/>
      <w:bCs/>
      <w:sz w:val="28"/>
      <w:szCs w:val="20"/>
    </w:rPr>
  </w:style>
  <w:style w:type="paragraph" w:customStyle="1" w:styleId="60">
    <w:name w:val="样式 样式 纯文本普通文字 Char普通文字纯文本 Char Char Char Char Char纯文本 Char Char....3"/>
    <w:basedOn w:val="1"/>
    <w:autoRedefine/>
    <w:qFormat/>
    <w:uiPriority w:val="0"/>
    <w:pPr>
      <w:snapToGrid/>
      <w:spacing w:line="400" w:lineRule="exact"/>
      <w:jc w:val="left"/>
    </w:pPr>
    <w:rPr>
      <w:rFonts w:hAnsi="Courier New" w:cs="宋体"/>
      <w:szCs w:val="20"/>
    </w:rPr>
  </w:style>
  <w:style w:type="paragraph" w:customStyle="1" w:styleId="61">
    <w:name w:val="样式 样式 样式 样式 正文首行缩进 + 首行缩进:  2 字符 + 宋体 首行缩进:  2 字符 + 首行缩进:  2 字符 ...1"/>
    <w:basedOn w:val="1"/>
    <w:autoRedefine/>
    <w:qFormat/>
    <w:uiPriority w:val="0"/>
    <w:pPr>
      <w:spacing w:line="400" w:lineRule="exact"/>
    </w:pPr>
    <w:rPr>
      <w:rFonts w:ascii="宋体" w:hAnsi="Courier New" w:cs="宋体"/>
      <w:szCs w:val="20"/>
    </w:rPr>
  </w:style>
  <w:style w:type="paragraph" w:customStyle="1" w:styleId="62">
    <w:name w:val="p0"/>
    <w:basedOn w:val="1"/>
    <w:autoRedefine/>
    <w:qFormat/>
    <w:uiPriority w:val="0"/>
    <w:pPr>
      <w:widowControl/>
      <w:snapToGrid/>
      <w:ind w:firstLine="560"/>
    </w:pPr>
    <w:rPr>
      <w:kern w:val="0"/>
      <w:szCs w:val="21"/>
    </w:rPr>
  </w:style>
  <w:style w:type="paragraph" w:customStyle="1" w:styleId="63">
    <w:name w:val="Char Char Char Char Char Char Char1"/>
    <w:basedOn w:val="1"/>
    <w:autoRedefine/>
    <w:qFormat/>
    <w:uiPriority w:val="0"/>
    <w:pPr>
      <w:snapToGrid/>
      <w:ind w:firstLine="0" w:firstLineChars="0"/>
    </w:pPr>
  </w:style>
  <w:style w:type="paragraph" w:customStyle="1" w:styleId="64">
    <w:name w:val="标书标题1"/>
    <w:basedOn w:val="1"/>
    <w:autoRedefine/>
    <w:qFormat/>
    <w:uiPriority w:val="0"/>
    <w:pPr>
      <w:keepNext/>
      <w:keepLines/>
      <w:adjustRightInd w:val="0"/>
      <w:spacing w:beforeLines="50" w:afterLines="50"/>
      <w:ind w:firstLine="0" w:firstLineChars="0"/>
      <w:outlineLvl w:val="0"/>
    </w:pPr>
    <w:rPr>
      <w:b/>
      <w:kern w:val="44"/>
      <w:sz w:val="30"/>
      <w:szCs w:val="44"/>
    </w:rPr>
  </w:style>
  <w:style w:type="paragraph" w:customStyle="1" w:styleId="65">
    <w:name w:val="一级条标题"/>
    <w:next w:val="1"/>
    <w:autoRedefine/>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66">
    <w:name w:val="章标题"/>
    <w:next w:val="1"/>
    <w:autoRedefine/>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67">
    <w:name w:val="二级条标题"/>
    <w:basedOn w:val="65"/>
    <w:next w:val="1"/>
    <w:autoRedefine/>
    <w:qFormat/>
    <w:uiPriority w:val="0"/>
  </w:style>
  <w:style w:type="character" w:customStyle="1" w:styleId="68">
    <w:name w:val="标题 3 Char"/>
    <w:autoRedefine/>
    <w:qFormat/>
    <w:uiPriority w:val="0"/>
    <w:rPr>
      <w:rFonts w:ascii="Times New Roman" w:hAnsi="Times New Roman" w:eastAsia="宋体"/>
      <w:b/>
      <w:sz w:val="24"/>
    </w:rPr>
  </w:style>
  <w:style w:type="character" w:customStyle="1" w:styleId="69">
    <w:name w:val="标题 1 Char"/>
    <w:autoRedefine/>
    <w:qFormat/>
    <w:uiPriority w:val="0"/>
    <w:rPr>
      <w:rFonts w:ascii="Times New Roman" w:hAnsi="Times New Roman" w:eastAsia="宋体"/>
      <w:b/>
      <w:kern w:val="44"/>
      <w:sz w:val="30"/>
    </w:rPr>
  </w:style>
  <w:style w:type="character" w:customStyle="1" w:styleId="70">
    <w:name w:val="标题 2 Char"/>
    <w:autoRedefine/>
    <w:qFormat/>
    <w:uiPriority w:val="0"/>
    <w:rPr>
      <w:b/>
      <w:kern w:val="2"/>
      <w:sz w:val="28"/>
      <w:szCs w:val="24"/>
    </w:rPr>
  </w:style>
  <w:style w:type="character" w:customStyle="1" w:styleId="71">
    <w:name w:val="批注框文本 字符"/>
    <w:basedOn w:val="30"/>
    <w:link w:val="16"/>
    <w:autoRedefine/>
    <w:qFormat/>
    <w:uiPriority w:val="0"/>
    <w:rPr>
      <w:rFonts w:eastAsia="宋体"/>
      <w:kern w:val="2"/>
      <w:sz w:val="18"/>
      <w:szCs w:val="18"/>
      <w:lang w:val="en-US" w:eastAsia="zh-CN" w:bidi="ar-SA"/>
    </w:rPr>
  </w:style>
  <w:style w:type="paragraph" w:customStyle="1" w:styleId="72">
    <w:name w:val="p17"/>
    <w:basedOn w:val="1"/>
    <w:autoRedefine/>
    <w:qFormat/>
    <w:uiPriority w:val="0"/>
    <w:pPr>
      <w:widowControl/>
      <w:snapToGrid/>
      <w:spacing w:line="500" w:lineRule="atLeast"/>
      <w:ind w:firstLine="420" w:firstLineChars="0"/>
    </w:pPr>
    <w:rPr>
      <w:kern w:val="0"/>
    </w:rPr>
  </w:style>
  <w:style w:type="paragraph" w:customStyle="1" w:styleId="73">
    <w:name w:val="A正文"/>
    <w:basedOn w:val="1"/>
    <w:autoRedefine/>
    <w:qFormat/>
    <w:uiPriority w:val="0"/>
    <w:pPr>
      <w:widowControl/>
      <w:overflowPunct w:val="0"/>
      <w:autoSpaceDE w:val="0"/>
      <w:autoSpaceDN w:val="0"/>
      <w:adjustRightInd w:val="0"/>
      <w:snapToGrid/>
      <w:spacing w:line="360" w:lineRule="auto"/>
      <w:jc w:val="left"/>
      <w:textAlignment w:val="baseline"/>
    </w:pPr>
    <w:rPr>
      <w:rFonts w:eastAsia="仿宋_GB2312"/>
      <w:kern w:val="0"/>
    </w:rPr>
  </w:style>
  <w:style w:type="paragraph" w:styleId="74">
    <w:name w:val="List Paragraph"/>
    <w:basedOn w:val="1"/>
    <w:autoRedefine/>
    <w:qFormat/>
    <w:uiPriority w:val="0"/>
    <w:pPr>
      <w:snapToGrid/>
      <w:ind w:firstLine="0" w:firstLineChars="0"/>
    </w:pPr>
  </w:style>
  <w:style w:type="paragraph" w:styleId="75">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6">
    <w:name w:val="Char Char Char Char Char Char Char"/>
    <w:basedOn w:val="1"/>
    <w:autoRedefine/>
    <w:qFormat/>
    <w:uiPriority w:val="0"/>
    <w:pPr>
      <w:snapToGrid/>
      <w:ind w:firstLine="0" w:firstLineChars="0"/>
    </w:pPr>
  </w:style>
  <w:style w:type="paragraph" w:customStyle="1" w:styleId="77">
    <w:name w:val="Char1"/>
    <w:basedOn w:val="1"/>
    <w:autoRedefine/>
    <w:qFormat/>
    <w:uiPriority w:val="0"/>
    <w:pPr>
      <w:snapToGrid/>
      <w:ind w:firstLine="0" w:firstLineChars="0"/>
    </w:pPr>
  </w:style>
  <w:style w:type="paragraph" w:customStyle="1" w:styleId="78">
    <w:name w:val="Char5"/>
    <w:basedOn w:val="1"/>
    <w:autoRedefine/>
    <w:qFormat/>
    <w:uiPriority w:val="0"/>
    <w:pPr>
      <w:snapToGrid/>
      <w:spacing w:line="240" w:lineRule="auto"/>
      <w:ind w:firstLine="0" w:firstLineChars="0"/>
    </w:pPr>
    <w:rPr>
      <w:sz w:val="21"/>
    </w:rPr>
  </w:style>
  <w:style w:type="paragraph" w:customStyle="1" w:styleId="79">
    <w:name w:val="样式 标题 2 + Times New Roman 四号 非加粗 段前: 5 磅 段后: 0 磅 行距: 固定值 20..."/>
    <w:basedOn w:val="2"/>
    <w:autoRedefine/>
    <w:qFormat/>
    <w:uiPriority w:val="0"/>
    <w:pPr>
      <w:tabs>
        <w:tab w:val="clear" w:pos="567"/>
      </w:tabs>
      <w:snapToGrid/>
      <w:spacing w:beforeLines="0" w:afterLines="0" w:line="400" w:lineRule="exact"/>
    </w:pPr>
    <w:rPr>
      <w:rFonts w:eastAsia="黑体" w:cs="宋体"/>
      <w:b w:val="0"/>
      <w:bCs w:val="0"/>
      <w:szCs w:val="20"/>
    </w:rPr>
  </w:style>
  <w:style w:type="character" w:customStyle="1" w:styleId="80">
    <w:name w:val="正文缩进 字符"/>
    <w:link w:val="7"/>
    <w:autoRedefine/>
    <w:qFormat/>
    <w:uiPriority w:val="0"/>
    <w:rPr>
      <w:kern w:val="2"/>
      <w:sz w:val="21"/>
    </w:rPr>
  </w:style>
  <w:style w:type="character" w:customStyle="1" w:styleId="81">
    <w:name w:val="批注文字 字符"/>
    <w:basedOn w:val="30"/>
    <w:link w:val="10"/>
    <w:autoRedefine/>
    <w:qFormat/>
    <w:uiPriority w:val="99"/>
    <w:rPr>
      <w:sz w:val="24"/>
    </w:rPr>
  </w:style>
  <w:style w:type="paragraph" w:customStyle="1" w:styleId="82">
    <w:name w:val="TOC Heading"/>
    <w:basedOn w:val="3"/>
    <w:next w:val="1"/>
    <w:autoRedefine/>
    <w:unhideWhenUsed/>
    <w:qFormat/>
    <w:uiPriority w:val="39"/>
    <w:pPr>
      <w:widowControl/>
      <w:snapToGrid/>
      <w:spacing w:before="240" w:after="0" w:line="259" w:lineRule="auto"/>
      <w:ind w:firstLine="0" w:firstLineChars="0"/>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ZEPC</Company>
  <Pages>46</Pages>
  <Words>9971</Words>
  <Characters>10678</Characters>
  <Lines>231</Lines>
  <Paragraphs>65</Paragraphs>
  <TotalTime>14</TotalTime>
  <ScaleCrop>false</ScaleCrop>
  <LinksUpToDate>false</LinksUpToDate>
  <CharactersWithSpaces>10992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2019-02-25T08:24:00Z</dcterms:created>
  <dc:creator>AutoBVT</dc:creator>
  <cp:lastModifiedBy>钟蔡泽</cp:lastModifiedBy>
  <dcterms:modified xsi:type="dcterms:W3CDTF">2025-02-24T06:55:10Z</dcterms:modified>
  <dc:title>桩基工程技术要求</dc:title>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0B6EE821976B46A7A26AC70B70DDA9AB_13</vt:lpwstr>
  </property>
  <property fmtid="{D5CDD505-2E9C-101B-9397-08002B2CF9AE}" pid="4" name="commondata">
    <vt:lpwstr>eyJoZGlkIjoiMTlkN2RjYWI5ODE1MjQ4NWE3ZDU0ZmE4NzUyNDQwN2UifQ==</vt:lpwstr>
  </property>
  <property fmtid="{D5CDD505-2E9C-101B-9397-08002B2CF9AE}" pid="5" name="KSOTemplateDocerSaveRecord">
    <vt:lpwstr>eyJoZGlkIjoiN2U5NzhmMTAyNDNlMGVkNmQxOTFkMzBkNTEzZDQ1NGEiLCJ1c2VySWQiOiIxNjI0Mzk3MzA3In0=</vt:lpwstr>
  </property>
</Properties>
</file>